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UNITED STATES</w:t>
      </w:r>
    </w:p>
    <w:p>
      <w:pPr>
        <w:jc w:val="center"/>
        <w:spacing w:after="0" w:line="202" w:lineRule="auto"/>
        <w:rPr>
          <w:sz w:val="20"/>
          <w:szCs w:val="20"/>
          <w:color w:val="auto"/>
        </w:rPr>
      </w:pPr>
      <w:r>
        <w:rPr>
          <w:rFonts w:ascii="Arial" w:cs="Arial" w:eastAsia="Arial" w:hAnsi="Arial"/>
          <w:sz w:val="25"/>
          <w:szCs w:val="25"/>
          <w:b w:val="1"/>
          <w:bCs w:val="1"/>
          <w:color w:val="auto"/>
        </w:rPr>
        <w:t>SECURITIES AND EXCHANGE COMMISSION</w:t>
      </w:r>
    </w:p>
    <w:p>
      <w:pPr>
        <w:spacing w:after="0" w:line="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Washington, D.C. 20549</w:t>
      </w:r>
    </w:p>
    <w:p>
      <w:pPr>
        <w:spacing w:after="0" w:line="17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7" w:lineRule="exact"/>
        <w:rPr>
          <w:sz w:val="24"/>
          <w:szCs w:val="24"/>
          <w:color w:val="auto"/>
        </w:rPr>
      </w:pPr>
    </w:p>
    <w:p>
      <w:pPr>
        <w:jc w:val="center"/>
        <w:ind w:left="40" w:right="59"/>
        <w:spacing w:after="0" w:line="223" w:lineRule="auto"/>
        <w:rPr>
          <w:sz w:val="20"/>
          <w:szCs w:val="20"/>
          <w:color w:val="auto"/>
        </w:rPr>
      </w:pPr>
      <w:r>
        <w:rPr>
          <w:rFonts w:ascii="Arial" w:cs="Arial" w:eastAsia="Arial" w:hAnsi="Arial"/>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9"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Short Form of Press Release</w:t>
      </w:r>
    </w:p>
    <w:p>
      <w:pPr>
        <w:spacing w:after="0" w:line="206"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Commission File Number 1-11414</w:t>
      </w:r>
    </w:p>
    <w:p>
      <w:pPr>
        <w:spacing w:after="0" w:line="200" w:lineRule="exact"/>
        <w:rPr>
          <w:sz w:val="24"/>
          <w:szCs w:val="24"/>
          <w:color w:val="auto"/>
        </w:rPr>
      </w:pPr>
    </w:p>
    <w:p>
      <w:pPr>
        <w:spacing w:after="0" w:line="219"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BANCO LATINOAMERICANO DE COMERCIO EXTERIOR, S.A.</w:t>
      </w:r>
    </w:p>
    <w:p>
      <w:pPr>
        <w:jc w:val="center"/>
        <w:spacing w:after="0"/>
        <w:rPr>
          <w:sz w:val="20"/>
          <w:szCs w:val="20"/>
          <w:color w:val="auto"/>
        </w:rPr>
      </w:pPr>
      <w:r>
        <w:rPr>
          <w:rFonts w:ascii="Arial" w:cs="Arial" w:eastAsia="Arial" w:hAnsi="Arial"/>
          <w:sz w:val="14"/>
          <w:szCs w:val="14"/>
          <w:color w:val="auto"/>
        </w:rPr>
        <w:t>(Exact name of Registrant as specified in its Charter)</w:t>
      </w:r>
    </w:p>
    <w:p>
      <w:pPr>
        <w:spacing w:after="0" w:line="173"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jc w:val="center"/>
        <w:spacing w:after="0"/>
        <w:rPr>
          <w:sz w:val="20"/>
          <w:szCs w:val="20"/>
          <w:color w:val="auto"/>
        </w:rPr>
      </w:pPr>
      <w:r>
        <w:rPr>
          <w:rFonts w:ascii="Arial" w:cs="Arial" w:eastAsia="Arial" w:hAnsi="Arial"/>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80"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Business Park Torre V, Ave. La Rotonda, Costa del Este</w:t>
      </w:r>
    </w:p>
    <w:p>
      <w:pPr>
        <w:jc w:val="center"/>
        <w:spacing w:after="0" w:line="203" w:lineRule="auto"/>
        <w:rPr>
          <w:sz w:val="20"/>
          <w:szCs w:val="20"/>
          <w:color w:val="auto"/>
        </w:rPr>
      </w:pPr>
      <w:r>
        <w:rPr>
          <w:rFonts w:ascii="Arial" w:cs="Arial" w:eastAsia="Arial" w:hAnsi="Arial"/>
          <w:sz w:val="18"/>
          <w:szCs w:val="18"/>
          <w:color w:val="auto"/>
        </w:rPr>
        <w:t>P.O. Box 0819-08730</w:t>
      </w:r>
    </w:p>
    <w:p>
      <w:pPr>
        <w:jc w:val="center"/>
        <w:spacing w:after="0" w:line="194" w:lineRule="auto"/>
        <w:rPr>
          <w:sz w:val="20"/>
          <w:szCs w:val="20"/>
          <w:color w:val="auto"/>
        </w:rPr>
      </w:pPr>
      <w:r>
        <w:rPr>
          <w:rFonts w:ascii="Arial" w:cs="Arial" w:eastAsia="Arial" w:hAnsi="Arial"/>
          <w:sz w:val="18"/>
          <w:szCs w:val="18"/>
          <w:color w:val="auto"/>
        </w:rPr>
        <w:t>Panama City, Republic of Panama</w:t>
      </w:r>
    </w:p>
    <w:p>
      <w:pPr>
        <w:jc w:val="center"/>
        <w:spacing w:after="0"/>
        <w:rPr>
          <w:sz w:val="20"/>
          <w:szCs w:val="20"/>
          <w:color w:val="auto"/>
        </w:rPr>
      </w:pPr>
      <w:r>
        <w:rPr>
          <w:rFonts w:ascii="Arial" w:cs="Arial" w:eastAsia="Arial" w:hAnsi="Arial"/>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95" w:lineRule="exact"/>
        <w:rPr>
          <w:sz w:val="24"/>
          <w:szCs w:val="24"/>
          <w:color w:val="auto"/>
        </w:rPr>
      </w:pPr>
    </w:p>
    <w:p>
      <w:pPr>
        <w:jc w:val="center"/>
        <w:ind w:left="40" w:right="59"/>
        <w:spacing w:after="0" w:line="340" w:lineRule="auto"/>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u w:val="single" w:color="auto"/>
          <w:color w:val="auto"/>
        </w:rPr>
        <w:t>x</w:t>
      </w:r>
      <w:r>
        <w:rPr>
          <w:rFonts w:ascii="Arial" w:cs="Arial" w:eastAsia="Arial" w:hAnsi="Arial"/>
          <w:sz w:val="18"/>
          <w:szCs w:val="18"/>
          <w:color w:val="auto"/>
        </w:rPr>
        <w:t xml:space="preserve"> Form 40-F __</w:t>
      </w:r>
    </w:p>
    <w:p>
      <w:pPr>
        <w:spacing w:after="0" w:line="10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7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3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spacing w:after="0" w:line="198"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SIGNATURES</w:t>
      </w:r>
    </w:p>
    <w:p>
      <w:pPr>
        <w:spacing w:after="0" w:line="219" w:lineRule="exact"/>
        <w:rPr>
          <w:sz w:val="20"/>
          <w:szCs w:val="20"/>
          <w:color w:val="auto"/>
        </w:rPr>
      </w:pPr>
    </w:p>
    <w:p>
      <w:pPr>
        <w:spacing w:after="0" w:line="23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18"/>
          <w:szCs w:val="18"/>
          <w:color w:val="auto"/>
        </w:rPr>
        <w:t>Date: May 4, 2022</w:t>
      </w:r>
    </w:p>
    <w:p>
      <w:pPr>
        <w:spacing w:after="0" w:line="185" w:lineRule="exact"/>
        <w:rPr>
          <w:sz w:val="20"/>
          <w:szCs w:val="20"/>
          <w:color w:val="auto"/>
        </w:rPr>
      </w:pPr>
    </w:p>
    <w:p>
      <w:pPr>
        <w:spacing w:after="0"/>
        <w:rPr>
          <w:sz w:val="20"/>
          <w:szCs w:val="20"/>
          <w:color w:val="auto"/>
        </w:rPr>
      </w:pPr>
      <w:r>
        <w:rPr>
          <w:rFonts w:ascii="Arial" w:cs="Arial" w:eastAsia="Arial" w:hAnsi="Arial"/>
          <w:sz w:val="22"/>
          <w:szCs w:val="22"/>
          <w:color w:val="auto"/>
        </w:rPr>
        <w:t>FOREIGN TRADE BANK OF LATIN AMERICA, INC.</w:t>
      </w:r>
    </w:p>
    <w:p>
      <w:pPr>
        <w:spacing w:after="0"/>
        <w:rPr>
          <w:sz w:val="20"/>
          <w:szCs w:val="20"/>
          <w:color w:val="auto"/>
        </w:rPr>
      </w:pPr>
      <w:r>
        <w:rPr>
          <w:rFonts w:ascii="Arial" w:cs="Arial" w:eastAsia="Arial" w:hAnsi="Arial"/>
          <w:sz w:val="22"/>
          <w:szCs w:val="22"/>
          <w:i w:val="1"/>
          <w:iCs w:val="1"/>
          <w:color w:val="auto"/>
        </w:rPr>
        <w:t>(Registrant)</w:t>
      </w: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wp:posOffset>
            </wp:positionH>
            <wp:positionV relativeFrom="paragraph">
              <wp:posOffset>-10160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76" w:lineRule="exact"/>
        <w:rPr>
          <w:sz w:val="20"/>
          <w:szCs w:val="20"/>
          <w:color w:val="auto"/>
        </w:rPr>
      </w:pPr>
    </w:p>
    <w:p>
      <w:pPr>
        <w:spacing w:after="0"/>
        <w:rPr>
          <w:sz w:val="20"/>
          <w:szCs w:val="20"/>
          <w:color w:val="auto"/>
        </w:rPr>
      </w:pPr>
      <w:r>
        <w:rPr>
          <w:rFonts w:ascii="Arial" w:cs="Arial" w:eastAsia="Arial" w:hAnsi="Arial"/>
          <w:sz w:val="18"/>
          <w:szCs w:val="18"/>
          <w:color w:val="auto"/>
        </w:rPr>
        <w:t>Name: Ana Graciela de Méndez</w:t>
      </w:r>
    </w:p>
    <w:p>
      <w:pPr>
        <w:spacing w:after="0"/>
        <w:rPr>
          <w:sz w:val="20"/>
          <w:szCs w:val="20"/>
          <w:color w:val="auto"/>
        </w:rPr>
      </w:pPr>
      <w:r>
        <w:rPr>
          <w:rFonts w:ascii="Arial" w:cs="Arial" w:eastAsia="Arial" w:hAnsi="Arial"/>
          <w:sz w:val="18"/>
          <w:szCs w:val="18"/>
          <w:color w:val="auto"/>
        </w:rPr>
        <w:t>Title: CFO</w:t>
      </w:r>
    </w:p>
    <w:p>
      <w:pPr>
        <w:sectPr>
          <w:pgSz w:w="11900" w:h="16838" w:orient="portrait"/>
          <w:cols w:equalWidth="0" w:num="1">
            <w:col w:w="11240"/>
          </w:cols>
          <w:pgMar w:left="320" w:top="1440" w:right="339" w:bottom="1440" w:gutter="0" w:footer="0" w:header="0"/>
        </w:sectPr>
      </w:pPr>
    </w:p>
    <w:bookmarkStart w:id="2" w:name="page3"/>
    <w:bookmarkEnd w:id="2"/>
    <w:p>
      <w:pPr>
        <w:jc w:val="center"/>
        <w:ind w:left="340" w:right="160"/>
        <w:spacing w:after="0" w:line="237" w:lineRule="auto"/>
        <w:rPr>
          <w:sz w:val="20"/>
          <w:szCs w:val="20"/>
          <w:color w:val="auto"/>
        </w:rPr>
      </w:pPr>
      <w:r>
        <w:rPr>
          <w:rFonts w:ascii="Arial" w:cs="Arial" w:eastAsia="Arial" w:hAnsi="Arial"/>
          <w:sz w:val="22"/>
          <w:szCs w:val="22"/>
          <w:b w:val="1"/>
          <w:bCs w:val="1"/>
          <w:color w:val="1F497D"/>
        </w:rPr>
        <w:t>BLADEX ANNOUNCES PROFIT FOR THE FIRST QUARTER 2022 OF $11.1 MILLION, OR $0.31 PER SHARE; ON HIGHER CREDIT PROVISIONS ASSOCIATED TO SOLID PORTFOLIO GROWTH</w:t>
      </w:r>
    </w:p>
    <w:p>
      <w:pPr>
        <w:spacing w:after="0" w:line="185"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1F497D"/>
        </w:rPr>
        <w:t>PANAMA CITY, REPUBLIC OF PANAMA, May 4, 2022</w:t>
      </w:r>
    </w:p>
    <w:p>
      <w:pPr>
        <w:spacing w:after="0" w:line="276" w:lineRule="exact"/>
        <w:rPr>
          <w:sz w:val="20"/>
          <w:szCs w:val="20"/>
          <w:color w:val="auto"/>
        </w:rPr>
      </w:pPr>
    </w:p>
    <w:p>
      <w:pPr>
        <w:jc w:val="both"/>
        <w:ind w:left="73"/>
        <w:spacing w:after="0" w:line="224" w:lineRule="auto"/>
        <w:rPr>
          <w:sz w:val="20"/>
          <w:szCs w:val="20"/>
          <w:color w:val="auto"/>
        </w:rPr>
      </w:pPr>
      <w:r>
        <w:rPr>
          <w:rFonts w:ascii="Arial" w:cs="Arial" w:eastAsia="Arial" w:hAnsi="Arial"/>
          <w:sz w:val="17"/>
          <w:szCs w:val="17"/>
          <w:b w:val="1"/>
          <w:bCs w:val="1"/>
          <w:color w:val="auto"/>
        </w:rPr>
        <w:t xml:space="preserve">Banco Latinoamericano de Comercio Exterior, S.A. </w:t>
      </w:r>
      <w:r>
        <w:rPr>
          <w:rFonts w:ascii="Arial" w:cs="Arial" w:eastAsia="Arial" w:hAnsi="Arial"/>
          <w:sz w:val="17"/>
          <w:szCs w:val="17"/>
          <w:color w:val="auto"/>
        </w:rPr>
        <w:t>(NYSE: BLX, “Bladex”, or “the Bank”), a Panama-based multinational bank originally</w:t>
      </w:r>
      <w:r>
        <w:rPr>
          <w:rFonts w:ascii="Arial" w:cs="Arial" w:eastAsia="Arial" w:hAnsi="Arial"/>
          <w:sz w:val="17"/>
          <w:szCs w:val="17"/>
          <w:b w:val="1"/>
          <w:bCs w:val="1"/>
          <w:color w:val="auto"/>
        </w:rPr>
        <w:t xml:space="preserve"> </w:t>
      </w:r>
      <w:r>
        <w:rPr>
          <w:rFonts w:ascii="Arial" w:cs="Arial" w:eastAsia="Arial" w:hAnsi="Arial"/>
          <w:sz w:val="17"/>
          <w:szCs w:val="17"/>
          <w:color w:val="auto"/>
        </w:rPr>
        <w:t xml:space="preserve">established by the central banks of 23 Latin-American and Caribbean countries to promote foreign trade and economic integration in the Region, today announced its results </w:t>
      </w:r>
      <w:r>
        <w:rPr>
          <w:rFonts w:ascii="Arial" w:cs="Arial" w:eastAsia="Arial" w:hAnsi="Arial"/>
          <w:sz w:val="16"/>
          <w:szCs w:val="16"/>
          <w:color w:val="auto"/>
        </w:rPr>
        <w:t>for the First Quarter (“1Q22”) ended March 31, 2022</w:t>
      </w:r>
      <w:r>
        <w:rPr>
          <w:rFonts w:ascii="Arial" w:cs="Arial" w:eastAsia="Arial" w:hAnsi="Arial"/>
          <w:sz w:val="17"/>
          <w:szCs w:val="17"/>
          <w:color w:val="auto"/>
        </w:rPr>
        <w:t>.</w:t>
      </w:r>
    </w:p>
    <w:p>
      <w:pPr>
        <w:spacing w:after="0" w:line="202" w:lineRule="exact"/>
        <w:rPr>
          <w:sz w:val="20"/>
          <w:szCs w:val="20"/>
          <w:color w:val="auto"/>
        </w:rPr>
      </w:pPr>
    </w:p>
    <w:p>
      <w:pPr>
        <w:jc w:val="both"/>
        <w:ind w:left="73"/>
        <w:spacing w:after="0" w:line="225" w:lineRule="auto"/>
        <w:rPr>
          <w:sz w:val="20"/>
          <w:szCs w:val="20"/>
          <w:color w:val="auto"/>
        </w:rPr>
      </w:pPr>
      <w:r>
        <w:rPr>
          <w:rFonts w:ascii="Arial" w:cs="Arial" w:eastAsia="Arial" w:hAnsi="Arial"/>
          <w:sz w:val="17"/>
          <w:szCs w:val="17"/>
          <w:color w:val="auto"/>
        </w:rPr>
        <w:t>The consolidated financial information in this document has been prepared in accordance with International Financial Reporting Standards (“IFRS”) as issued by the International Accounting Standards Board (“IASB”).</w:t>
      </w:r>
    </w:p>
    <w:p>
      <w:pPr>
        <w:spacing w:after="0" w:line="200" w:lineRule="exact"/>
        <w:rPr>
          <w:sz w:val="20"/>
          <w:szCs w:val="20"/>
          <w:color w:val="auto"/>
        </w:rPr>
      </w:pPr>
    </w:p>
    <w:p>
      <w:pPr>
        <w:spacing w:after="0" w:line="227"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auto"/>
        </w:rPr>
        <w:t>FINANCIAL SNAPSHOT</w:t>
      </w:r>
    </w:p>
    <w:p>
      <w:pPr>
        <w:spacing w:after="0" w:line="275" w:lineRule="exact"/>
        <w:rPr>
          <w:sz w:val="20"/>
          <w:szCs w:val="20"/>
          <w:color w:val="auto"/>
        </w:rPr>
      </w:pPr>
    </w:p>
    <w:tbl>
      <w:tblPr>
        <w:tblLayout w:type="fixed"/>
        <w:tblInd w:w="73" w:type="dxa"/>
        <w:tblCellMar>
          <w:top w:w="0" w:type="dxa"/>
          <w:left w:w="0" w:type="dxa"/>
          <w:bottom w:w="0" w:type="dxa"/>
          <w:right w:w="0" w:type="dxa"/>
        </w:tblCellMar>
      </w:tblPr>
      <w:tr>
        <w:trPr>
          <w:trHeight w:val="228"/>
        </w:trPr>
        <w:tc>
          <w:tcPr>
            <w:tcW w:w="8340" w:type="dxa"/>
            <w:vAlign w:val="bottom"/>
            <w:tcBorders>
              <w:bottom w:val="single" w:sz="8" w:color="44546A"/>
              <w:right w:val="single" w:sz="8" w:color="44546A"/>
            </w:tcBorders>
          </w:tcPr>
          <w:p>
            <w:pPr>
              <w:ind w:left="20"/>
              <w:spacing w:after="0"/>
              <w:rPr>
                <w:sz w:val="20"/>
                <w:szCs w:val="20"/>
                <w:color w:val="auto"/>
              </w:rPr>
            </w:pPr>
            <w:r>
              <w:rPr>
                <w:rFonts w:ascii="Arial" w:cs="Arial" w:eastAsia="Arial" w:hAnsi="Arial"/>
                <w:sz w:val="14"/>
                <w:szCs w:val="14"/>
                <w:color w:val="404040"/>
              </w:rPr>
              <w:t>(US$ million, except percentages and per share amounts)</w:t>
            </w:r>
          </w:p>
        </w:tc>
        <w:tc>
          <w:tcPr>
            <w:tcW w:w="860" w:type="dxa"/>
            <w:vAlign w:val="bottom"/>
            <w:tcBorders>
              <w:bottom w:val="single" w:sz="8" w:color="44546A"/>
              <w:right w:val="single" w:sz="8" w:color="44546A"/>
            </w:tcBorders>
            <w:shd w:val="clear" w:color="auto" w:fill="44546A"/>
          </w:tcPr>
          <w:p>
            <w:pPr>
              <w:jc w:val="right"/>
              <w:ind w:right="179"/>
              <w:spacing w:after="0"/>
              <w:rPr>
                <w:sz w:val="20"/>
                <w:szCs w:val="20"/>
                <w:color w:val="auto"/>
              </w:rPr>
            </w:pPr>
            <w:r>
              <w:rPr>
                <w:rFonts w:ascii="Arial" w:cs="Arial" w:eastAsia="Arial" w:hAnsi="Arial"/>
                <w:sz w:val="16"/>
                <w:szCs w:val="16"/>
                <w:color w:val="F2F2F2"/>
              </w:rPr>
              <w:t>1Q22</w:t>
            </w:r>
          </w:p>
        </w:tc>
        <w:tc>
          <w:tcPr>
            <w:tcW w:w="880" w:type="dxa"/>
            <w:vAlign w:val="bottom"/>
            <w:tcBorders>
              <w:bottom w:val="single" w:sz="8" w:color="44546A"/>
              <w:right w:val="single" w:sz="8" w:color="44546A"/>
            </w:tcBorders>
          </w:tcPr>
          <w:p>
            <w:pPr>
              <w:jc w:val="right"/>
              <w:ind w:right="179"/>
              <w:spacing w:after="0"/>
              <w:rPr>
                <w:sz w:val="20"/>
                <w:szCs w:val="20"/>
                <w:color w:val="auto"/>
              </w:rPr>
            </w:pPr>
            <w:r>
              <w:rPr>
                <w:rFonts w:ascii="Arial" w:cs="Arial" w:eastAsia="Arial" w:hAnsi="Arial"/>
                <w:sz w:val="16"/>
                <w:szCs w:val="16"/>
                <w:color w:val="404040"/>
              </w:rPr>
              <w:t>4Q21</w:t>
            </w:r>
          </w:p>
        </w:tc>
        <w:tc>
          <w:tcPr>
            <w:tcW w:w="860" w:type="dxa"/>
            <w:vAlign w:val="bottom"/>
            <w:tcBorders>
              <w:bottom w:val="single" w:sz="8" w:color="44546A"/>
            </w:tcBorders>
          </w:tcPr>
          <w:p>
            <w:pPr>
              <w:jc w:val="right"/>
              <w:ind w:right="159"/>
              <w:spacing w:after="0"/>
              <w:rPr>
                <w:sz w:val="20"/>
                <w:szCs w:val="20"/>
                <w:color w:val="auto"/>
              </w:rPr>
            </w:pPr>
            <w:r>
              <w:rPr>
                <w:rFonts w:ascii="Arial" w:cs="Arial" w:eastAsia="Arial" w:hAnsi="Arial"/>
                <w:sz w:val="16"/>
                <w:szCs w:val="16"/>
                <w:color w:val="404040"/>
              </w:rPr>
              <w:t>1Q21</w:t>
            </w:r>
          </w:p>
        </w:tc>
      </w:tr>
      <w:tr>
        <w:trPr>
          <w:trHeight w:val="205"/>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4546A"/>
              </w:rPr>
              <w:t>Key Income Statement Highlights</w:t>
            </w:r>
          </w:p>
        </w:tc>
        <w:tc>
          <w:tcPr>
            <w:tcW w:w="860" w:type="dxa"/>
            <w:vAlign w:val="bottom"/>
            <w:tcBorders>
              <w:right w:val="single" w:sz="8" w:color="44546A"/>
            </w:tcBorders>
          </w:tcPr>
          <w:p>
            <w:pPr>
              <w:spacing w:after="0"/>
              <w:rPr>
                <w:sz w:val="17"/>
                <w:szCs w:val="17"/>
                <w:color w:val="auto"/>
              </w:rPr>
            </w:pPr>
          </w:p>
        </w:tc>
        <w:tc>
          <w:tcPr>
            <w:tcW w:w="880" w:type="dxa"/>
            <w:vAlign w:val="bottom"/>
            <w:tcBorders>
              <w:right w:val="single" w:sz="8" w:color="44546A"/>
            </w:tcBorders>
          </w:tcPr>
          <w:p>
            <w:pPr>
              <w:spacing w:after="0"/>
              <w:rPr>
                <w:sz w:val="17"/>
                <w:szCs w:val="17"/>
                <w:color w:val="auto"/>
              </w:rPr>
            </w:pPr>
          </w:p>
        </w:tc>
        <w:tc>
          <w:tcPr>
            <w:tcW w:w="860" w:type="dxa"/>
            <w:vAlign w:val="bottom"/>
          </w:tcPr>
          <w:p>
            <w:pPr>
              <w:spacing w:after="0"/>
              <w:rPr>
                <w:sz w:val="17"/>
                <w:szCs w:val="17"/>
                <w:color w:val="auto"/>
              </w:rPr>
            </w:pP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Net Interest Income ("NII")</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$25.7</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$24.8</w:t>
            </w:r>
          </w:p>
        </w:tc>
        <w:tc>
          <w:tcPr>
            <w:tcW w:w="860" w:type="dxa"/>
            <w:vAlign w:val="bottom"/>
          </w:tcPr>
          <w:p>
            <w:pPr>
              <w:jc w:val="right"/>
              <w:spacing w:after="0"/>
              <w:rPr>
                <w:sz w:val="20"/>
                <w:szCs w:val="20"/>
                <w:color w:val="auto"/>
              </w:rPr>
            </w:pPr>
            <w:r>
              <w:rPr>
                <w:rFonts w:ascii="Arial" w:cs="Arial" w:eastAsia="Arial" w:hAnsi="Arial"/>
                <w:sz w:val="16"/>
                <w:szCs w:val="16"/>
                <w:color w:val="404040"/>
              </w:rPr>
              <w:t>$18.9</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Fees and commissions, net</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$3.9</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$6.2</w:t>
            </w:r>
          </w:p>
        </w:tc>
        <w:tc>
          <w:tcPr>
            <w:tcW w:w="860" w:type="dxa"/>
            <w:vAlign w:val="bottom"/>
          </w:tcPr>
          <w:p>
            <w:pPr>
              <w:jc w:val="right"/>
              <w:spacing w:after="0"/>
              <w:rPr>
                <w:sz w:val="20"/>
                <w:szCs w:val="20"/>
                <w:color w:val="auto"/>
              </w:rPr>
            </w:pPr>
            <w:r>
              <w:rPr>
                <w:rFonts w:ascii="Arial" w:cs="Arial" w:eastAsia="Arial" w:hAnsi="Arial"/>
                <w:sz w:val="16"/>
                <w:szCs w:val="16"/>
                <w:color w:val="404040"/>
              </w:rPr>
              <w:t>$3.0</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Gain (loss) on financial instruments, net</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$0.6</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($1.3)</w:t>
            </w:r>
          </w:p>
        </w:tc>
        <w:tc>
          <w:tcPr>
            <w:tcW w:w="860" w:type="dxa"/>
            <w:vAlign w:val="bottom"/>
          </w:tcPr>
          <w:p>
            <w:pPr>
              <w:jc w:val="right"/>
              <w:spacing w:after="0"/>
              <w:rPr>
                <w:sz w:val="20"/>
                <w:szCs w:val="20"/>
                <w:color w:val="auto"/>
              </w:rPr>
            </w:pPr>
            <w:r>
              <w:rPr>
                <w:rFonts w:ascii="Arial" w:cs="Arial" w:eastAsia="Arial" w:hAnsi="Arial"/>
                <w:sz w:val="16"/>
                <w:szCs w:val="16"/>
                <w:color w:val="404040"/>
              </w:rPr>
              <w:t>($0.1)</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Other income, net</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$0.0</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$0.1</w:t>
            </w:r>
          </w:p>
        </w:tc>
        <w:tc>
          <w:tcPr>
            <w:tcW w:w="860" w:type="dxa"/>
            <w:vAlign w:val="bottom"/>
          </w:tcPr>
          <w:p>
            <w:pPr>
              <w:jc w:val="right"/>
              <w:spacing w:after="0"/>
              <w:rPr>
                <w:sz w:val="20"/>
                <w:szCs w:val="20"/>
                <w:color w:val="auto"/>
              </w:rPr>
            </w:pPr>
            <w:r>
              <w:rPr>
                <w:rFonts w:ascii="Arial" w:cs="Arial" w:eastAsia="Arial" w:hAnsi="Arial"/>
                <w:sz w:val="16"/>
                <w:szCs w:val="16"/>
                <w:color w:val="404040"/>
              </w:rPr>
              <w:t>$0.1</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Total revenues</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$30.2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$29.8</w:t>
            </w:r>
          </w:p>
        </w:tc>
        <w:tc>
          <w:tcPr>
            <w:tcW w:w="860" w:type="dxa"/>
            <w:vAlign w:val="bottom"/>
          </w:tcPr>
          <w:p>
            <w:pPr>
              <w:jc w:val="right"/>
              <w:spacing w:after="0"/>
              <w:rPr>
                <w:sz w:val="20"/>
                <w:szCs w:val="20"/>
                <w:color w:val="auto"/>
              </w:rPr>
            </w:pPr>
            <w:r>
              <w:rPr>
                <w:rFonts w:ascii="Arial" w:cs="Arial" w:eastAsia="Arial" w:hAnsi="Arial"/>
                <w:sz w:val="16"/>
                <w:szCs w:val="16"/>
                <w:color w:val="404040"/>
              </w:rPr>
              <w:t>$22.0</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Provision for credit losses</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($8.1)</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($0.2)</w:t>
            </w:r>
          </w:p>
        </w:tc>
        <w:tc>
          <w:tcPr>
            <w:tcW w:w="860" w:type="dxa"/>
            <w:vAlign w:val="bottom"/>
          </w:tcPr>
          <w:p>
            <w:pPr>
              <w:jc w:val="right"/>
              <w:spacing w:after="0"/>
              <w:rPr>
                <w:sz w:val="20"/>
                <w:szCs w:val="20"/>
                <w:color w:val="auto"/>
              </w:rPr>
            </w:pPr>
            <w:r>
              <w:rPr>
                <w:rFonts w:ascii="Arial" w:cs="Arial" w:eastAsia="Arial" w:hAnsi="Arial"/>
                <w:sz w:val="16"/>
                <w:szCs w:val="16"/>
                <w:color w:val="404040"/>
              </w:rPr>
              <w:t>$0.0</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Gain on non-financial assets, net</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$0.0</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$0.7</w:t>
            </w:r>
          </w:p>
        </w:tc>
        <w:tc>
          <w:tcPr>
            <w:tcW w:w="860" w:type="dxa"/>
            <w:vAlign w:val="bottom"/>
          </w:tcPr>
          <w:p>
            <w:pPr>
              <w:jc w:val="right"/>
              <w:spacing w:after="0"/>
              <w:rPr>
                <w:sz w:val="20"/>
                <w:szCs w:val="20"/>
                <w:color w:val="auto"/>
              </w:rPr>
            </w:pPr>
            <w:r>
              <w:rPr>
                <w:rFonts w:ascii="Arial" w:cs="Arial" w:eastAsia="Arial" w:hAnsi="Arial"/>
                <w:sz w:val="16"/>
                <w:szCs w:val="16"/>
                <w:color w:val="404040"/>
              </w:rPr>
              <w:t>$0.0</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Operating expenses</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($11.0)</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($10.3)</w:t>
            </w:r>
          </w:p>
        </w:tc>
        <w:tc>
          <w:tcPr>
            <w:tcW w:w="860" w:type="dxa"/>
            <w:vAlign w:val="bottom"/>
          </w:tcPr>
          <w:p>
            <w:pPr>
              <w:jc w:val="right"/>
              <w:spacing w:after="0"/>
              <w:rPr>
                <w:sz w:val="20"/>
                <w:szCs w:val="20"/>
                <w:color w:val="auto"/>
              </w:rPr>
            </w:pPr>
            <w:r>
              <w:rPr>
                <w:rFonts w:ascii="Arial" w:cs="Arial" w:eastAsia="Arial" w:hAnsi="Arial"/>
                <w:sz w:val="16"/>
                <w:szCs w:val="16"/>
                <w:color w:val="404040"/>
              </w:rPr>
              <w:t>($9.1)</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Profit for the period</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$11.1</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$20.1</w:t>
            </w:r>
          </w:p>
        </w:tc>
        <w:tc>
          <w:tcPr>
            <w:tcW w:w="860" w:type="dxa"/>
            <w:vAlign w:val="bottom"/>
          </w:tcPr>
          <w:p>
            <w:pPr>
              <w:jc w:val="right"/>
              <w:spacing w:after="0"/>
              <w:rPr>
                <w:sz w:val="20"/>
                <w:szCs w:val="20"/>
                <w:color w:val="auto"/>
              </w:rPr>
            </w:pPr>
            <w:r>
              <w:rPr>
                <w:rFonts w:ascii="Arial" w:cs="Arial" w:eastAsia="Arial" w:hAnsi="Arial"/>
                <w:sz w:val="16"/>
                <w:szCs w:val="16"/>
                <w:color w:val="404040"/>
              </w:rPr>
              <w:t>$12.8</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4546A"/>
              </w:rPr>
              <w:t>Profitability Ratios</w:t>
            </w:r>
          </w:p>
        </w:tc>
        <w:tc>
          <w:tcPr>
            <w:tcW w:w="860" w:type="dxa"/>
            <w:vAlign w:val="bottom"/>
            <w:tcBorders>
              <w:right w:val="single" w:sz="8" w:color="44546A"/>
            </w:tcBorders>
          </w:tcPr>
          <w:p>
            <w:pPr>
              <w:spacing w:after="0"/>
              <w:rPr>
                <w:sz w:val="18"/>
                <w:szCs w:val="18"/>
                <w:color w:val="auto"/>
              </w:rPr>
            </w:pPr>
          </w:p>
        </w:tc>
        <w:tc>
          <w:tcPr>
            <w:tcW w:w="880" w:type="dxa"/>
            <w:vAlign w:val="bottom"/>
            <w:tcBorders>
              <w:right w:val="single" w:sz="8" w:color="44546A"/>
            </w:tcBorders>
          </w:tcPr>
          <w:p>
            <w:pPr>
              <w:spacing w:after="0"/>
              <w:rPr>
                <w:sz w:val="18"/>
                <w:szCs w:val="18"/>
                <w:color w:val="auto"/>
              </w:rPr>
            </w:pPr>
          </w:p>
        </w:tc>
        <w:tc>
          <w:tcPr>
            <w:tcW w:w="860" w:type="dxa"/>
            <w:vAlign w:val="bottom"/>
          </w:tcPr>
          <w:p>
            <w:pPr>
              <w:spacing w:after="0"/>
              <w:rPr>
                <w:sz w:val="18"/>
                <w:szCs w:val="18"/>
                <w:color w:val="auto"/>
              </w:rPr>
            </w:pPr>
          </w:p>
        </w:tc>
      </w:tr>
      <w:tr>
        <w:trPr>
          <w:trHeight w:val="226"/>
        </w:trPr>
        <w:tc>
          <w:tcPr>
            <w:tcW w:w="8340" w:type="dxa"/>
            <w:vAlign w:val="bottom"/>
            <w:tcBorders>
              <w:right w:val="single" w:sz="8" w:color="44546A"/>
            </w:tcBorders>
          </w:tcPr>
          <w:p>
            <w:pPr>
              <w:ind w:left="20"/>
              <w:spacing w:after="0" w:line="226" w:lineRule="exact"/>
              <w:rPr>
                <w:sz w:val="20"/>
                <w:szCs w:val="20"/>
                <w:color w:val="auto"/>
              </w:rPr>
            </w:pPr>
            <w:r>
              <w:rPr>
                <w:rFonts w:ascii="Arial" w:cs="Arial" w:eastAsia="Arial" w:hAnsi="Arial"/>
                <w:sz w:val="16"/>
                <w:szCs w:val="16"/>
                <w:color w:val="404040"/>
              </w:rPr>
              <w:t xml:space="preserve">Earnings per Share ("EPS") </w:t>
            </w:r>
            <w:r>
              <w:rPr>
                <w:rFonts w:ascii="Arial" w:cs="Arial" w:eastAsia="Arial" w:hAnsi="Arial"/>
                <w:sz w:val="21"/>
                <w:szCs w:val="21"/>
                <w:color w:val="404040"/>
                <w:vertAlign w:val="superscript"/>
              </w:rPr>
              <w:t>(1)</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$0.31</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$0.54</w:t>
            </w:r>
          </w:p>
        </w:tc>
        <w:tc>
          <w:tcPr>
            <w:tcW w:w="860" w:type="dxa"/>
            <w:vAlign w:val="bottom"/>
          </w:tcPr>
          <w:p>
            <w:pPr>
              <w:jc w:val="right"/>
              <w:spacing w:after="0"/>
              <w:rPr>
                <w:sz w:val="20"/>
                <w:szCs w:val="20"/>
                <w:color w:val="auto"/>
              </w:rPr>
            </w:pPr>
            <w:r>
              <w:rPr>
                <w:rFonts w:ascii="Arial" w:cs="Arial" w:eastAsia="Arial" w:hAnsi="Arial"/>
                <w:sz w:val="16"/>
                <w:szCs w:val="16"/>
                <w:color w:val="404040"/>
              </w:rPr>
              <w:t>$0.32</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Return on Average Equity (“ROAE”) </w:t>
            </w:r>
            <w:r>
              <w:rPr>
                <w:rFonts w:ascii="Arial" w:cs="Arial" w:eastAsia="Arial" w:hAnsi="Arial"/>
                <w:sz w:val="21"/>
                <w:szCs w:val="21"/>
                <w:color w:val="404040"/>
                <w:vertAlign w:val="superscript"/>
              </w:rPr>
              <w:t>(2)</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4.5%</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7.9%</w:t>
            </w:r>
          </w:p>
        </w:tc>
        <w:tc>
          <w:tcPr>
            <w:tcW w:w="860" w:type="dxa"/>
            <w:vAlign w:val="bottom"/>
          </w:tcPr>
          <w:p>
            <w:pPr>
              <w:jc w:val="right"/>
              <w:spacing w:after="0"/>
              <w:rPr>
                <w:sz w:val="20"/>
                <w:szCs w:val="20"/>
                <w:color w:val="auto"/>
              </w:rPr>
            </w:pPr>
            <w:r>
              <w:rPr>
                <w:rFonts w:ascii="Arial" w:cs="Arial" w:eastAsia="Arial" w:hAnsi="Arial"/>
                <w:sz w:val="16"/>
                <w:szCs w:val="16"/>
                <w:color w:val="404040"/>
              </w:rPr>
              <w:t>5.0%</w:t>
            </w:r>
          </w:p>
        </w:tc>
      </w:tr>
      <w:tr>
        <w:trPr>
          <w:trHeight w:val="20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Return on Average Assets (“ROAA”)</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0.6%</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1.1%</w:t>
            </w:r>
          </w:p>
        </w:tc>
        <w:tc>
          <w:tcPr>
            <w:tcW w:w="860" w:type="dxa"/>
            <w:vAlign w:val="bottom"/>
          </w:tcPr>
          <w:p>
            <w:pPr>
              <w:jc w:val="right"/>
              <w:spacing w:after="0"/>
              <w:rPr>
                <w:sz w:val="20"/>
                <w:szCs w:val="20"/>
                <w:color w:val="auto"/>
              </w:rPr>
            </w:pPr>
            <w:r>
              <w:rPr>
                <w:rFonts w:ascii="Arial" w:cs="Arial" w:eastAsia="Arial" w:hAnsi="Arial"/>
                <w:sz w:val="16"/>
                <w:szCs w:val="16"/>
                <w:color w:val="404040"/>
              </w:rPr>
              <w:t>0.8%</w:t>
            </w:r>
          </w:p>
        </w:tc>
      </w:tr>
      <w:tr>
        <w:trPr>
          <w:trHeight w:val="226"/>
        </w:trPr>
        <w:tc>
          <w:tcPr>
            <w:tcW w:w="8340" w:type="dxa"/>
            <w:vAlign w:val="bottom"/>
            <w:tcBorders>
              <w:right w:val="single" w:sz="8" w:color="44546A"/>
            </w:tcBorders>
          </w:tcPr>
          <w:p>
            <w:pPr>
              <w:ind w:left="20"/>
              <w:spacing w:after="0" w:line="226" w:lineRule="exact"/>
              <w:rPr>
                <w:sz w:val="20"/>
                <w:szCs w:val="20"/>
                <w:color w:val="auto"/>
              </w:rPr>
            </w:pPr>
            <w:r>
              <w:rPr>
                <w:rFonts w:ascii="Arial" w:cs="Arial" w:eastAsia="Arial" w:hAnsi="Arial"/>
                <w:sz w:val="16"/>
                <w:szCs w:val="16"/>
                <w:color w:val="404040"/>
              </w:rPr>
              <w:t xml:space="preserve">Net Interest Margin ("NIM") </w:t>
            </w:r>
            <w:r>
              <w:rPr>
                <w:rFonts w:ascii="Arial" w:cs="Arial" w:eastAsia="Arial" w:hAnsi="Arial"/>
                <w:sz w:val="21"/>
                <w:szCs w:val="21"/>
                <w:color w:val="404040"/>
                <w:vertAlign w:val="superscript"/>
              </w:rPr>
              <w:t>(3)</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1.32%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1.42%</w:t>
            </w:r>
          </w:p>
        </w:tc>
        <w:tc>
          <w:tcPr>
            <w:tcW w:w="860" w:type="dxa"/>
            <w:vAlign w:val="bottom"/>
          </w:tcPr>
          <w:p>
            <w:pPr>
              <w:jc w:val="right"/>
              <w:spacing w:after="0"/>
              <w:rPr>
                <w:sz w:val="20"/>
                <w:szCs w:val="20"/>
                <w:color w:val="auto"/>
              </w:rPr>
            </w:pPr>
            <w:r>
              <w:rPr>
                <w:rFonts w:ascii="Arial" w:cs="Arial" w:eastAsia="Arial" w:hAnsi="Arial"/>
                <w:sz w:val="16"/>
                <w:szCs w:val="16"/>
                <w:color w:val="404040"/>
              </w:rPr>
              <w:t>1.24%</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Net Interest Spread ("NIS") </w:t>
            </w:r>
            <w:r>
              <w:rPr>
                <w:rFonts w:ascii="Arial" w:cs="Arial" w:eastAsia="Arial" w:hAnsi="Arial"/>
                <w:sz w:val="21"/>
                <w:szCs w:val="21"/>
                <w:color w:val="404040"/>
                <w:vertAlign w:val="superscript"/>
              </w:rPr>
              <w:t>(4)</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1.15%</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1.26%</w:t>
            </w:r>
          </w:p>
        </w:tc>
        <w:tc>
          <w:tcPr>
            <w:tcW w:w="860" w:type="dxa"/>
            <w:vAlign w:val="bottom"/>
          </w:tcPr>
          <w:p>
            <w:pPr>
              <w:jc w:val="right"/>
              <w:spacing w:after="0"/>
              <w:rPr>
                <w:sz w:val="20"/>
                <w:szCs w:val="20"/>
                <w:color w:val="auto"/>
              </w:rPr>
            </w:pPr>
            <w:r>
              <w:rPr>
                <w:rFonts w:ascii="Arial" w:cs="Arial" w:eastAsia="Arial" w:hAnsi="Arial"/>
                <w:sz w:val="16"/>
                <w:szCs w:val="16"/>
                <w:color w:val="404040"/>
              </w:rPr>
              <w:t>1.04%</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Efficiency Ratio </w:t>
            </w:r>
            <w:r>
              <w:rPr>
                <w:rFonts w:ascii="Arial" w:cs="Arial" w:eastAsia="Arial" w:hAnsi="Arial"/>
                <w:sz w:val="21"/>
                <w:szCs w:val="21"/>
                <w:color w:val="404040"/>
                <w:vertAlign w:val="superscript"/>
              </w:rPr>
              <w:t>(5)</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36.4%</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34.6%</w:t>
            </w:r>
          </w:p>
        </w:tc>
        <w:tc>
          <w:tcPr>
            <w:tcW w:w="860" w:type="dxa"/>
            <w:vAlign w:val="bottom"/>
          </w:tcPr>
          <w:p>
            <w:pPr>
              <w:jc w:val="right"/>
              <w:spacing w:after="0"/>
              <w:rPr>
                <w:sz w:val="20"/>
                <w:szCs w:val="20"/>
                <w:color w:val="auto"/>
              </w:rPr>
            </w:pPr>
            <w:r>
              <w:rPr>
                <w:rFonts w:ascii="Arial" w:cs="Arial" w:eastAsia="Arial" w:hAnsi="Arial"/>
                <w:sz w:val="16"/>
                <w:szCs w:val="16"/>
                <w:color w:val="404040"/>
              </w:rPr>
              <w:t>41.6%</w:t>
            </w:r>
          </w:p>
        </w:tc>
      </w:tr>
      <w:tr>
        <w:trPr>
          <w:trHeight w:val="20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4546A"/>
              </w:rPr>
              <w:t>Assets, Capital, Liquidity &amp; Credit Quality</w:t>
            </w:r>
          </w:p>
        </w:tc>
        <w:tc>
          <w:tcPr>
            <w:tcW w:w="860" w:type="dxa"/>
            <w:vAlign w:val="bottom"/>
            <w:tcBorders>
              <w:right w:val="single" w:sz="8" w:color="44546A"/>
            </w:tcBorders>
          </w:tcPr>
          <w:p>
            <w:pPr>
              <w:spacing w:after="0"/>
              <w:rPr>
                <w:sz w:val="17"/>
                <w:szCs w:val="17"/>
                <w:color w:val="auto"/>
              </w:rPr>
            </w:pPr>
          </w:p>
        </w:tc>
        <w:tc>
          <w:tcPr>
            <w:tcW w:w="880" w:type="dxa"/>
            <w:vAlign w:val="bottom"/>
            <w:tcBorders>
              <w:right w:val="single" w:sz="8" w:color="44546A"/>
            </w:tcBorders>
          </w:tcPr>
          <w:p>
            <w:pPr>
              <w:spacing w:after="0"/>
              <w:rPr>
                <w:sz w:val="17"/>
                <w:szCs w:val="17"/>
                <w:color w:val="auto"/>
              </w:rPr>
            </w:pPr>
          </w:p>
        </w:tc>
        <w:tc>
          <w:tcPr>
            <w:tcW w:w="860" w:type="dxa"/>
            <w:vAlign w:val="bottom"/>
          </w:tcPr>
          <w:p>
            <w:pPr>
              <w:spacing w:after="0"/>
              <w:rPr>
                <w:sz w:val="17"/>
                <w:szCs w:val="17"/>
                <w:color w:val="auto"/>
              </w:rPr>
            </w:pPr>
          </w:p>
        </w:tc>
      </w:tr>
      <w:tr>
        <w:trPr>
          <w:trHeight w:val="226"/>
        </w:trPr>
        <w:tc>
          <w:tcPr>
            <w:tcW w:w="8340" w:type="dxa"/>
            <w:vAlign w:val="bottom"/>
            <w:tcBorders>
              <w:right w:val="single" w:sz="8" w:color="44546A"/>
            </w:tcBorders>
          </w:tcPr>
          <w:p>
            <w:pPr>
              <w:ind w:left="20"/>
              <w:spacing w:after="0" w:line="226" w:lineRule="exact"/>
              <w:rPr>
                <w:sz w:val="20"/>
                <w:szCs w:val="20"/>
                <w:color w:val="auto"/>
              </w:rPr>
            </w:pPr>
            <w:r>
              <w:rPr>
                <w:rFonts w:ascii="Arial" w:cs="Arial" w:eastAsia="Arial" w:hAnsi="Arial"/>
                <w:sz w:val="16"/>
                <w:szCs w:val="16"/>
                <w:color w:val="404040"/>
              </w:rPr>
              <w:t xml:space="preserve">Credit Portfolio </w:t>
            </w:r>
            <w:r>
              <w:rPr>
                <w:rFonts w:ascii="Arial" w:cs="Arial" w:eastAsia="Arial" w:hAnsi="Arial"/>
                <w:sz w:val="21"/>
                <w:szCs w:val="21"/>
                <w:color w:val="404040"/>
                <w:vertAlign w:val="superscript"/>
              </w:rPr>
              <w:t>(6)</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$8,412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$7,365</w:t>
            </w:r>
          </w:p>
        </w:tc>
        <w:tc>
          <w:tcPr>
            <w:tcW w:w="860" w:type="dxa"/>
            <w:vAlign w:val="bottom"/>
          </w:tcPr>
          <w:p>
            <w:pPr>
              <w:jc w:val="right"/>
              <w:spacing w:after="0"/>
              <w:rPr>
                <w:sz w:val="20"/>
                <w:szCs w:val="20"/>
                <w:color w:val="auto"/>
              </w:rPr>
            </w:pPr>
            <w:r>
              <w:rPr>
                <w:rFonts w:ascii="Arial" w:cs="Arial" w:eastAsia="Arial" w:hAnsi="Arial"/>
                <w:sz w:val="16"/>
                <w:szCs w:val="16"/>
                <w:color w:val="404040"/>
              </w:rPr>
              <w:t>$6,097</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Commercial Portfolio </w:t>
            </w:r>
            <w:r>
              <w:rPr>
                <w:rFonts w:ascii="Arial" w:cs="Arial" w:eastAsia="Arial" w:hAnsi="Arial"/>
                <w:sz w:val="21"/>
                <w:szCs w:val="21"/>
                <w:color w:val="404040"/>
                <w:vertAlign w:val="superscript"/>
              </w:rPr>
              <w:t>(7)</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$7,321</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$6,540</w:t>
            </w:r>
          </w:p>
        </w:tc>
        <w:tc>
          <w:tcPr>
            <w:tcW w:w="860" w:type="dxa"/>
            <w:vAlign w:val="bottom"/>
          </w:tcPr>
          <w:p>
            <w:pPr>
              <w:jc w:val="right"/>
              <w:spacing w:after="0"/>
              <w:rPr>
                <w:sz w:val="20"/>
                <w:szCs w:val="20"/>
                <w:color w:val="auto"/>
              </w:rPr>
            </w:pPr>
            <w:r>
              <w:rPr>
                <w:rFonts w:ascii="Arial" w:cs="Arial" w:eastAsia="Arial" w:hAnsi="Arial"/>
                <w:sz w:val="16"/>
                <w:szCs w:val="16"/>
                <w:color w:val="404040"/>
              </w:rPr>
              <w:t>$5,708</w:t>
            </w:r>
          </w:p>
        </w:tc>
      </w:tr>
      <w:tr>
        <w:trPr>
          <w:trHeight w:val="20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Investment Portfolio</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$1,091</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$825</w:t>
            </w:r>
          </w:p>
        </w:tc>
        <w:tc>
          <w:tcPr>
            <w:tcW w:w="860" w:type="dxa"/>
            <w:vAlign w:val="bottom"/>
          </w:tcPr>
          <w:p>
            <w:pPr>
              <w:jc w:val="right"/>
              <w:spacing w:after="0"/>
              <w:rPr>
                <w:sz w:val="20"/>
                <w:szCs w:val="20"/>
                <w:color w:val="auto"/>
              </w:rPr>
            </w:pPr>
            <w:r>
              <w:rPr>
                <w:rFonts w:ascii="Arial" w:cs="Arial" w:eastAsia="Arial" w:hAnsi="Arial"/>
                <w:sz w:val="16"/>
                <w:szCs w:val="16"/>
                <w:color w:val="404040"/>
              </w:rPr>
              <w:t>$389</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Total assets</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$8,458</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$8,038</w:t>
            </w:r>
          </w:p>
        </w:tc>
        <w:tc>
          <w:tcPr>
            <w:tcW w:w="860" w:type="dxa"/>
            <w:vAlign w:val="bottom"/>
          </w:tcPr>
          <w:p>
            <w:pPr>
              <w:jc w:val="right"/>
              <w:spacing w:after="0"/>
              <w:rPr>
                <w:sz w:val="20"/>
                <w:szCs w:val="20"/>
                <w:color w:val="auto"/>
              </w:rPr>
            </w:pPr>
            <w:r>
              <w:rPr>
                <w:rFonts w:ascii="Arial" w:cs="Arial" w:eastAsia="Arial" w:hAnsi="Arial"/>
                <w:sz w:val="16"/>
                <w:szCs w:val="16"/>
                <w:color w:val="404040"/>
              </w:rPr>
              <w:t>$6,375</w:t>
            </w:r>
          </w:p>
        </w:tc>
      </w:tr>
      <w:tr>
        <w:trPr>
          <w:trHeight w:val="21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Total equity</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$1,005</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$992</w:t>
            </w:r>
          </w:p>
        </w:tc>
        <w:tc>
          <w:tcPr>
            <w:tcW w:w="860" w:type="dxa"/>
            <w:vAlign w:val="bottom"/>
          </w:tcPr>
          <w:p>
            <w:pPr>
              <w:jc w:val="right"/>
              <w:spacing w:after="0"/>
              <w:rPr>
                <w:sz w:val="20"/>
                <w:szCs w:val="20"/>
                <w:color w:val="auto"/>
              </w:rPr>
            </w:pPr>
            <w:r>
              <w:rPr>
                <w:rFonts w:ascii="Arial" w:cs="Arial" w:eastAsia="Arial" w:hAnsi="Arial"/>
                <w:sz w:val="16"/>
                <w:szCs w:val="16"/>
                <w:color w:val="404040"/>
              </w:rPr>
              <w:t>$1,037</w:t>
            </w:r>
          </w:p>
        </w:tc>
      </w:tr>
      <w:tr>
        <w:trPr>
          <w:trHeight w:val="226"/>
        </w:trPr>
        <w:tc>
          <w:tcPr>
            <w:tcW w:w="8340" w:type="dxa"/>
            <w:vAlign w:val="bottom"/>
            <w:tcBorders>
              <w:right w:val="single" w:sz="8" w:color="44546A"/>
            </w:tcBorders>
          </w:tcPr>
          <w:p>
            <w:pPr>
              <w:ind w:left="20"/>
              <w:spacing w:after="0" w:line="226" w:lineRule="exact"/>
              <w:rPr>
                <w:sz w:val="20"/>
                <w:szCs w:val="20"/>
                <w:color w:val="auto"/>
              </w:rPr>
            </w:pPr>
            <w:r>
              <w:rPr>
                <w:rFonts w:ascii="Arial" w:cs="Arial" w:eastAsia="Arial" w:hAnsi="Arial"/>
                <w:sz w:val="16"/>
                <w:szCs w:val="16"/>
                <w:color w:val="404040"/>
              </w:rPr>
              <w:t xml:space="preserve">Market capitalization </w:t>
            </w:r>
            <w:r>
              <w:rPr>
                <w:rFonts w:ascii="Arial" w:cs="Arial" w:eastAsia="Arial" w:hAnsi="Arial"/>
                <w:sz w:val="21"/>
                <w:szCs w:val="21"/>
                <w:color w:val="404040"/>
                <w:vertAlign w:val="superscript"/>
              </w:rPr>
              <w:t>(8)</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$565</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$601</w:t>
            </w:r>
          </w:p>
        </w:tc>
        <w:tc>
          <w:tcPr>
            <w:tcW w:w="860" w:type="dxa"/>
            <w:vAlign w:val="bottom"/>
          </w:tcPr>
          <w:p>
            <w:pPr>
              <w:jc w:val="right"/>
              <w:spacing w:after="0"/>
              <w:rPr>
                <w:sz w:val="20"/>
                <w:szCs w:val="20"/>
                <w:color w:val="auto"/>
              </w:rPr>
            </w:pPr>
            <w:r>
              <w:rPr>
                <w:rFonts w:ascii="Arial" w:cs="Arial" w:eastAsia="Arial" w:hAnsi="Arial"/>
                <w:sz w:val="16"/>
                <w:szCs w:val="16"/>
                <w:color w:val="404040"/>
              </w:rPr>
              <w:t>$601</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Tier 1 Capital to risk-weighted assets (Basel III – IRB) </w:t>
            </w:r>
            <w:r>
              <w:rPr>
                <w:rFonts w:ascii="Arial" w:cs="Arial" w:eastAsia="Arial" w:hAnsi="Arial"/>
                <w:sz w:val="21"/>
                <w:szCs w:val="21"/>
                <w:color w:val="404040"/>
                <w:vertAlign w:val="superscript"/>
              </w:rPr>
              <w:t>(9)</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16.2%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19.1%</w:t>
            </w:r>
          </w:p>
        </w:tc>
        <w:tc>
          <w:tcPr>
            <w:tcW w:w="860" w:type="dxa"/>
            <w:vAlign w:val="bottom"/>
          </w:tcPr>
          <w:p>
            <w:pPr>
              <w:jc w:val="right"/>
              <w:spacing w:after="0"/>
              <w:rPr>
                <w:sz w:val="20"/>
                <w:szCs w:val="20"/>
                <w:color w:val="auto"/>
              </w:rPr>
            </w:pPr>
            <w:r>
              <w:rPr>
                <w:rFonts w:ascii="Arial" w:cs="Arial" w:eastAsia="Arial" w:hAnsi="Arial"/>
                <w:sz w:val="16"/>
                <w:szCs w:val="16"/>
                <w:color w:val="404040"/>
              </w:rPr>
              <w:t>26.3%</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Capital Adequacy Ratio (Regulatory) </w:t>
            </w:r>
            <w:r>
              <w:rPr>
                <w:rFonts w:ascii="Arial" w:cs="Arial" w:eastAsia="Arial" w:hAnsi="Arial"/>
                <w:sz w:val="21"/>
                <w:szCs w:val="21"/>
                <w:color w:val="404040"/>
                <w:vertAlign w:val="superscript"/>
              </w:rPr>
              <w:t>(10)</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13.4%</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15.6%</w:t>
            </w:r>
          </w:p>
        </w:tc>
        <w:tc>
          <w:tcPr>
            <w:tcW w:w="860" w:type="dxa"/>
            <w:vAlign w:val="bottom"/>
          </w:tcPr>
          <w:p>
            <w:pPr>
              <w:jc w:val="right"/>
              <w:spacing w:after="0"/>
              <w:rPr>
                <w:sz w:val="20"/>
                <w:szCs w:val="20"/>
                <w:color w:val="auto"/>
              </w:rPr>
            </w:pPr>
            <w:r>
              <w:rPr>
                <w:rFonts w:ascii="Arial" w:cs="Arial" w:eastAsia="Arial" w:hAnsi="Arial"/>
                <w:sz w:val="16"/>
                <w:szCs w:val="16"/>
                <w:color w:val="404040"/>
              </w:rPr>
              <w:t>19.4%</w:t>
            </w:r>
          </w:p>
        </w:tc>
      </w:tr>
      <w:tr>
        <w:trPr>
          <w:trHeight w:val="206"/>
        </w:trPr>
        <w:tc>
          <w:tcPr>
            <w:tcW w:w="8340" w:type="dxa"/>
            <w:vAlign w:val="bottom"/>
            <w:tcBorders>
              <w:right w:val="single" w:sz="8" w:color="44546A"/>
            </w:tcBorders>
          </w:tcPr>
          <w:p>
            <w:pPr>
              <w:ind w:left="20"/>
              <w:spacing w:after="0"/>
              <w:rPr>
                <w:sz w:val="20"/>
                <w:szCs w:val="20"/>
                <w:color w:val="auto"/>
              </w:rPr>
            </w:pPr>
            <w:r>
              <w:rPr>
                <w:rFonts w:ascii="Arial" w:cs="Arial" w:eastAsia="Arial" w:hAnsi="Arial"/>
                <w:sz w:val="16"/>
                <w:szCs w:val="16"/>
                <w:color w:val="404040"/>
              </w:rPr>
              <w:t>Total assets / Total equity (times)</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8.4</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8.1</w:t>
            </w:r>
          </w:p>
        </w:tc>
        <w:tc>
          <w:tcPr>
            <w:tcW w:w="860" w:type="dxa"/>
            <w:vAlign w:val="bottom"/>
          </w:tcPr>
          <w:p>
            <w:pPr>
              <w:jc w:val="right"/>
              <w:spacing w:after="0"/>
              <w:rPr>
                <w:sz w:val="20"/>
                <w:szCs w:val="20"/>
                <w:color w:val="auto"/>
              </w:rPr>
            </w:pPr>
            <w:r>
              <w:rPr>
                <w:rFonts w:ascii="Arial" w:cs="Arial" w:eastAsia="Arial" w:hAnsi="Arial"/>
                <w:sz w:val="16"/>
                <w:szCs w:val="16"/>
                <w:color w:val="404040"/>
              </w:rPr>
              <w:t>6.1</w:t>
            </w:r>
          </w:p>
        </w:tc>
      </w:tr>
      <w:tr>
        <w:trPr>
          <w:trHeight w:val="226"/>
        </w:trPr>
        <w:tc>
          <w:tcPr>
            <w:tcW w:w="8340" w:type="dxa"/>
            <w:vAlign w:val="bottom"/>
            <w:tcBorders>
              <w:right w:val="single" w:sz="8" w:color="44546A"/>
            </w:tcBorders>
          </w:tcPr>
          <w:p>
            <w:pPr>
              <w:ind w:left="20"/>
              <w:spacing w:after="0" w:line="226" w:lineRule="exact"/>
              <w:rPr>
                <w:sz w:val="20"/>
                <w:szCs w:val="20"/>
                <w:color w:val="auto"/>
              </w:rPr>
            </w:pPr>
            <w:r>
              <w:rPr>
                <w:rFonts w:ascii="Arial" w:cs="Arial" w:eastAsia="Arial" w:hAnsi="Arial"/>
                <w:sz w:val="16"/>
                <w:szCs w:val="16"/>
                <w:color w:val="404040"/>
              </w:rPr>
              <w:t xml:space="preserve">Liquid Assets / Total Assets </w:t>
            </w:r>
            <w:r>
              <w:rPr>
                <w:rFonts w:ascii="Arial" w:cs="Arial" w:eastAsia="Arial" w:hAnsi="Arial"/>
                <w:sz w:val="21"/>
                <w:szCs w:val="21"/>
                <w:color w:val="404040"/>
                <w:vertAlign w:val="superscript"/>
              </w:rPr>
              <w:t>(11)</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9.2%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17.5%</w:t>
            </w:r>
          </w:p>
        </w:tc>
        <w:tc>
          <w:tcPr>
            <w:tcW w:w="860" w:type="dxa"/>
            <w:vAlign w:val="bottom"/>
          </w:tcPr>
          <w:p>
            <w:pPr>
              <w:jc w:val="right"/>
              <w:spacing w:after="0"/>
              <w:rPr>
                <w:sz w:val="20"/>
                <w:szCs w:val="20"/>
                <w:color w:val="auto"/>
              </w:rPr>
            </w:pPr>
            <w:r>
              <w:rPr>
                <w:rFonts w:ascii="Arial" w:cs="Arial" w:eastAsia="Arial" w:hAnsi="Arial"/>
                <w:sz w:val="16"/>
                <w:szCs w:val="16"/>
                <w:color w:val="404040"/>
              </w:rPr>
              <w:t>15.6%</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Credit-impaired loans to Loan Portfolio </w:t>
            </w:r>
            <w:r>
              <w:rPr>
                <w:rFonts w:ascii="Arial" w:cs="Arial" w:eastAsia="Arial" w:hAnsi="Arial"/>
                <w:sz w:val="21"/>
                <w:szCs w:val="21"/>
                <w:color w:val="404040"/>
                <w:vertAlign w:val="superscript"/>
              </w:rPr>
              <w:t>(12)</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0.2%</w:t>
            </w:r>
          </w:p>
        </w:tc>
        <w:tc>
          <w:tcPr>
            <w:tcW w:w="860" w:type="dxa"/>
            <w:vAlign w:val="bottom"/>
          </w:tcPr>
          <w:p>
            <w:pPr>
              <w:jc w:val="right"/>
              <w:spacing w:after="0"/>
              <w:rPr>
                <w:sz w:val="20"/>
                <w:szCs w:val="20"/>
                <w:color w:val="auto"/>
              </w:rPr>
            </w:pPr>
            <w:r>
              <w:rPr>
                <w:rFonts w:ascii="Arial" w:cs="Arial" w:eastAsia="Arial" w:hAnsi="Arial"/>
                <w:sz w:val="16"/>
                <w:szCs w:val="16"/>
                <w:color w:val="404040"/>
              </w:rPr>
              <w:t>0.2%</w:t>
            </w:r>
          </w:p>
        </w:tc>
      </w:tr>
      <w:tr>
        <w:trPr>
          <w:trHeight w:val="216"/>
        </w:trPr>
        <w:tc>
          <w:tcPr>
            <w:tcW w:w="8340" w:type="dxa"/>
            <w:vAlign w:val="bottom"/>
            <w:tcBorders>
              <w:right w:val="single" w:sz="8" w:color="44546A"/>
            </w:tcBorders>
          </w:tcPr>
          <w:p>
            <w:pPr>
              <w:ind w:left="20"/>
              <w:spacing w:after="0" w:line="216" w:lineRule="exact"/>
              <w:rPr>
                <w:sz w:val="20"/>
                <w:szCs w:val="20"/>
                <w:color w:val="auto"/>
              </w:rPr>
            </w:pPr>
            <w:r>
              <w:rPr>
                <w:rFonts w:ascii="Arial" w:cs="Arial" w:eastAsia="Arial" w:hAnsi="Arial"/>
                <w:sz w:val="16"/>
                <w:szCs w:val="16"/>
                <w:color w:val="404040"/>
              </w:rPr>
              <w:t xml:space="preserve">Total allowance for losses to Credit Portfolio </w:t>
            </w:r>
            <w:r>
              <w:rPr>
                <w:rFonts w:ascii="Arial" w:cs="Arial" w:eastAsia="Arial" w:hAnsi="Arial"/>
                <w:sz w:val="21"/>
                <w:szCs w:val="21"/>
                <w:color w:val="404040"/>
                <w:vertAlign w:val="superscript"/>
              </w:rPr>
              <w:t>(13)</w:t>
            </w:r>
          </w:p>
        </w:tc>
        <w:tc>
          <w:tcPr>
            <w:tcW w:w="86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0.7%</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0.6%</w:t>
            </w:r>
          </w:p>
        </w:tc>
        <w:tc>
          <w:tcPr>
            <w:tcW w:w="860" w:type="dxa"/>
            <w:vAlign w:val="bottom"/>
          </w:tcPr>
          <w:p>
            <w:pPr>
              <w:jc w:val="right"/>
              <w:spacing w:after="0"/>
              <w:rPr>
                <w:sz w:val="20"/>
                <w:szCs w:val="20"/>
                <w:color w:val="auto"/>
              </w:rPr>
            </w:pPr>
            <w:r>
              <w:rPr>
                <w:rFonts w:ascii="Arial" w:cs="Arial" w:eastAsia="Arial" w:hAnsi="Arial"/>
                <w:sz w:val="16"/>
                <w:szCs w:val="16"/>
                <w:color w:val="404040"/>
              </w:rPr>
              <w:t>0.7%</w:t>
            </w:r>
          </w:p>
        </w:tc>
      </w:tr>
      <w:tr>
        <w:trPr>
          <w:trHeight w:val="212"/>
        </w:trPr>
        <w:tc>
          <w:tcPr>
            <w:tcW w:w="8340" w:type="dxa"/>
            <w:vAlign w:val="bottom"/>
            <w:tcBorders>
              <w:right w:val="single" w:sz="8" w:color="44546A"/>
            </w:tcBorders>
          </w:tcPr>
          <w:p>
            <w:pPr>
              <w:ind w:left="20"/>
              <w:spacing w:after="0" w:line="213" w:lineRule="exact"/>
              <w:rPr>
                <w:sz w:val="20"/>
                <w:szCs w:val="20"/>
                <w:color w:val="auto"/>
              </w:rPr>
            </w:pPr>
            <w:r>
              <w:rPr>
                <w:rFonts w:ascii="Arial" w:cs="Arial" w:eastAsia="Arial" w:hAnsi="Arial"/>
                <w:sz w:val="16"/>
                <w:szCs w:val="16"/>
                <w:color w:val="404040"/>
              </w:rPr>
              <w:t xml:space="preserve">Total allowance for losses to credit-impaired loans (times) </w:t>
            </w:r>
            <w:r>
              <w:rPr>
                <w:rFonts w:ascii="Arial" w:cs="Arial" w:eastAsia="Arial" w:hAnsi="Arial"/>
                <w:sz w:val="21"/>
                <w:szCs w:val="21"/>
                <w:color w:val="404040"/>
                <w:vertAlign w:val="superscript"/>
              </w:rPr>
              <w:t>(13)</w:t>
            </w:r>
          </w:p>
        </w:tc>
        <w:tc>
          <w:tcPr>
            <w:tcW w:w="860" w:type="dxa"/>
            <w:vAlign w:val="bottom"/>
            <w:tcBorders>
              <w:bottom w:val="single" w:sz="8" w:color="44546A"/>
              <w:right w:val="single" w:sz="8" w:color="44546A"/>
            </w:tcBorders>
          </w:tcPr>
          <w:p>
            <w:pPr>
              <w:jc w:val="right"/>
              <w:spacing w:after="0"/>
              <w:rPr>
                <w:sz w:val="20"/>
                <w:szCs w:val="20"/>
                <w:color w:val="auto"/>
              </w:rPr>
            </w:pPr>
            <w:r>
              <w:rPr>
                <w:rFonts w:ascii="Arial" w:cs="Arial" w:eastAsia="Arial" w:hAnsi="Arial"/>
                <w:sz w:val="16"/>
                <w:szCs w:val="16"/>
                <w:color w:val="404040"/>
              </w:rPr>
              <w:t>5.2</w:t>
            </w:r>
          </w:p>
        </w:tc>
        <w:tc>
          <w:tcPr>
            <w:tcW w:w="880" w:type="dxa"/>
            <w:vAlign w:val="bottom"/>
            <w:tcBorders>
              <w:right w:val="single" w:sz="8" w:color="44546A"/>
            </w:tcBorders>
          </w:tcPr>
          <w:p>
            <w:pPr>
              <w:jc w:val="right"/>
              <w:spacing w:after="0"/>
              <w:rPr>
                <w:sz w:val="20"/>
                <w:szCs w:val="20"/>
                <w:color w:val="auto"/>
              </w:rPr>
            </w:pPr>
            <w:r>
              <w:rPr>
                <w:rFonts w:ascii="Arial" w:cs="Arial" w:eastAsia="Arial" w:hAnsi="Arial"/>
                <w:sz w:val="16"/>
                <w:szCs w:val="16"/>
                <w:color w:val="404040"/>
              </w:rPr>
              <w:t>4.4</w:t>
            </w:r>
          </w:p>
        </w:tc>
        <w:tc>
          <w:tcPr>
            <w:tcW w:w="860" w:type="dxa"/>
            <w:vAlign w:val="bottom"/>
          </w:tcPr>
          <w:p>
            <w:pPr>
              <w:jc w:val="right"/>
              <w:spacing w:after="0"/>
              <w:rPr>
                <w:sz w:val="20"/>
                <w:szCs w:val="20"/>
                <w:color w:val="auto"/>
              </w:rPr>
            </w:pPr>
            <w:r>
              <w:rPr>
                <w:rFonts w:ascii="Arial" w:cs="Arial" w:eastAsia="Arial" w:hAnsi="Arial"/>
                <w:sz w:val="16"/>
                <w:szCs w:val="16"/>
                <w:color w:val="404040"/>
              </w:rPr>
              <w:t>4.2</w:t>
            </w:r>
          </w:p>
        </w:tc>
      </w:tr>
    </w:tbl>
    <w:p>
      <w:pPr>
        <w:spacing w:after="0" w:line="200" w:lineRule="exact"/>
        <w:rPr>
          <w:sz w:val="20"/>
          <w:szCs w:val="20"/>
          <w:color w:val="auto"/>
        </w:rPr>
      </w:pPr>
    </w:p>
    <w:p>
      <w:pPr>
        <w:spacing w:after="0" w:line="304"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auto"/>
        </w:rPr>
        <w:t>BUSINESS HIGHLIGHTS</w:t>
      </w:r>
    </w:p>
    <w:p>
      <w:pPr>
        <w:spacing w:after="0" w:line="209" w:lineRule="exact"/>
        <w:rPr>
          <w:sz w:val="20"/>
          <w:szCs w:val="20"/>
          <w:color w:val="auto"/>
        </w:rPr>
      </w:pPr>
    </w:p>
    <w:p>
      <w:pPr>
        <w:jc w:val="both"/>
        <w:ind w:left="173" w:right="60" w:hanging="169"/>
        <w:spacing w:after="0" w:line="225" w:lineRule="auto"/>
        <w:tabs>
          <w:tab w:leader="none" w:pos="163" w:val="left"/>
        </w:tabs>
        <w:numPr>
          <w:ilvl w:val="0"/>
          <w:numId w:val="1"/>
        </w:numPr>
        <w:rPr>
          <w:rFonts w:ascii="Arial" w:cs="Arial" w:eastAsia="Arial" w:hAnsi="Arial"/>
          <w:sz w:val="14"/>
          <w:szCs w:val="14"/>
          <w:color w:val="1F497D"/>
        </w:rPr>
      </w:pPr>
      <w:r>
        <w:rPr>
          <w:rFonts w:ascii="Arial" w:cs="Arial" w:eastAsia="Arial" w:hAnsi="Arial"/>
          <w:sz w:val="16"/>
          <w:szCs w:val="16"/>
          <w:color w:val="1F497D"/>
        </w:rPr>
        <w:t>The Bank’s Credit Portfolio increased 38% YoY and 14% QoQ, to reach record levels of $8.4 billion as of March 31, 2022. This growth was driven by Commercial Portfolio reaching $7.3 billion (+28% YoY; +12% QoQ) along with increased credit investment securities to $0.9 billion, aimed to diversify exposures and complement the Bank’s commercial activities.</w:t>
      </w:r>
    </w:p>
    <w:p>
      <w:pPr>
        <w:spacing w:after="0" w:line="76" w:lineRule="exact"/>
        <w:rPr>
          <w:rFonts w:ascii="Arial" w:cs="Arial" w:eastAsia="Arial" w:hAnsi="Arial"/>
          <w:sz w:val="14"/>
          <w:szCs w:val="14"/>
          <w:color w:val="1F497D"/>
        </w:rPr>
      </w:pPr>
    </w:p>
    <w:p>
      <w:pPr>
        <w:jc w:val="both"/>
        <w:ind w:left="153" w:right="60" w:hanging="153"/>
        <w:spacing w:after="0" w:line="221" w:lineRule="auto"/>
        <w:tabs>
          <w:tab w:leader="none" w:pos="149" w:val="left"/>
        </w:tabs>
        <w:numPr>
          <w:ilvl w:val="0"/>
          <w:numId w:val="1"/>
        </w:numPr>
        <w:rPr>
          <w:rFonts w:ascii="Arial" w:cs="Arial" w:eastAsia="Arial" w:hAnsi="Arial"/>
          <w:sz w:val="14"/>
          <w:szCs w:val="14"/>
          <w:color w:val="1F497D"/>
        </w:rPr>
      </w:pPr>
      <w:r>
        <w:rPr>
          <w:rFonts w:ascii="Arial" w:cs="Arial" w:eastAsia="Arial" w:hAnsi="Arial"/>
          <w:sz w:val="16"/>
          <w:szCs w:val="16"/>
          <w:color w:val="1F497D"/>
        </w:rPr>
        <w:t>The Commercial Portfolio’s growth trend of seven consecutive quarters is propelled by stronger demand from the Bank’s traditional client base, mainly top tier corporations, boosted by higher commodity prices and trade flows in the Region. The Bank continued to focus its origination on portfolio diversification, preserving the high quality of its borrowers, as evidenced by the successful collection of all scheduled loan maturities, as well as by the short-term nature of its business (74% maturing in less than a year).</w:t>
      </w:r>
    </w:p>
    <w:p>
      <w:pPr>
        <w:sectPr>
          <w:pgSz w:w="11900" w:h="16838" w:orient="portrait"/>
          <w:cols w:equalWidth="0" w:num="1">
            <w:col w:w="11313"/>
          </w:cols>
          <w:pgMar w:left="247" w:top="1160" w:right="339" w:bottom="1440" w:gutter="0" w:footer="0" w:header="0"/>
        </w:sectPr>
      </w:pPr>
    </w:p>
    <w:bookmarkStart w:id="3" w:name="page4"/>
    <w:bookmarkEnd w:id="3"/>
    <w:p>
      <w:pPr>
        <w:jc w:val="both"/>
        <w:ind w:left="153" w:right="60" w:hanging="153"/>
        <w:spacing w:after="0" w:line="221"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Bladex´s liquidity position, consisting of cash and due from banks and highly rated corporate debt securities (‘A-‘ or above), stood at $0.8 billion, or 9% of total assets as of March 31, 2022. The Bank relies on sustained deposit levels and well diversified funding sources with ample access to global debt and capital markets, such as the re-opening of a debt placement in the Mexican market for an amount equivalent of $150 million, and a $300 million global syndicated transaction, during 1Q22.</w:t>
      </w:r>
    </w:p>
    <w:p>
      <w:pPr>
        <w:spacing w:after="0" w:line="78" w:lineRule="exact"/>
        <w:rPr>
          <w:rFonts w:ascii="Arial" w:cs="Arial" w:eastAsia="Arial" w:hAnsi="Arial"/>
          <w:sz w:val="14"/>
          <w:szCs w:val="14"/>
          <w:color w:val="1F497D"/>
        </w:rPr>
      </w:pPr>
    </w:p>
    <w:p>
      <w:pPr>
        <w:jc w:val="both"/>
        <w:ind w:left="153" w:right="60" w:hanging="153"/>
        <w:spacing w:after="0" w:line="225"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Alongside Bladex’s portfolio growth is its asset quality preservation, as credit-impaired loans (“NPLs”) remained unchanged at $11 million or 0.2% of total Loan Portfolio as of March 31, 2022. Credits categorized as Stage 2 under IFRS 9 (with increased risk since origination) represented 2% of total credits, unchanged QoQ and down from 5% a year ago, with the remaining 98% categorized as Stage 1 or low-risk credits.</w:t>
      </w:r>
    </w:p>
    <w:p>
      <w:pPr>
        <w:spacing w:after="0" w:line="76" w:lineRule="exact"/>
        <w:rPr>
          <w:rFonts w:ascii="Arial" w:cs="Arial" w:eastAsia="Arial" w:hAnsi="Arial"/>
          <w:sz w:val="14"/>
          <w:szCs w:val="14"/>
          <w:color w:val="1F497D"/>
        </w:rPr>
      </w:pPr>
    </w:p>
    <w:p>
      <w:pPr>
        <w:ind w:left="153" w:right="60" w:hanging="153"/>
        <w:spacing w:after="0" w:line="232"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As of March 31, 2022, the total allowance for credit losses increased 24% YoY and 17% QoQ to reach $55.2 million, representing 0.7% of total Credit Portfolio, and 5.2 times NPL balances. The $8.1 million provision for credit losses in 1Q22 was closely tied to the Bank’s Credit Portfolio growth.</w:t>
      </w:r>
    </w:p>
    <w:p>
      <w:pPr>
        <w:spacing w:after="0" w:line="76" w:lineRule="exact"/>
        <w:rPr>
          <w:rFonts w:ascii="Arial" w:cs="Arial" w:eastAsia="Arial" w:hAnsi="Arial"/>
          <w:sz w:val="14"/>
          <w:szCs w:val="14"/>
          <w:color w:val="1F497D"/>
        </w:rPr>
      </w:pPr>
    </w:p>
    <w:p>
      <w:pPr>
        <w:ind w:left="153" w:right="60" w:hanging="153"/>
        <w:spacing w:after="0" w:line="232"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Bladex’s Profit for 1Q22 totaled $11.1 million (-13% YoY; -45% QoQ), as the increase in top-line revenues (+38% YoY; +1% QoQ) was mainly offset by the aforementioned credit provision charges.</w:t>
      </w:r>
    </w:p>
    <w:p>
      <w:pPr>
        <w:spacing w:after="0" w:line="76" w:lineRule="exact"/>
        <w:rPr>
          <w:rFonts w:ascii="Arial" w:cs="Arial" w:eastAsia="Arial" w:hAnsi="Arial"/>
          <w:sz w:val="14"/>
          <w:szCs w:val="14"/>
          <w:color w:val="1F497D"/>
        </w:rPr>
      </w:pPr>
    </w:p>
    <w:p>
      <w:pPr>
        <w:ind w:left="153" w:right="60" w:hanging="153"/>
        <w:spacing w:after="0" w:line="232"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NII continued its quarterly growth trend since a year ago, up 36% YoY and 4% QoQ, to $25.7 million for 1Q22, mainly resulting from the effect of higher average net lending rates and volumes.</w:t>
      </w:r>
    </w:p>
    <w:p>
      <w:pPr>
        <w:spacing w:after="0" w:line="76" w:lineRule="exact"/>
        <w:rPr>
          <w:rFonts w:ascii="Arial" w:cs="Arial" w:eastAsia="Arial" w:hAnsi="Arial"/>
          <w:sz w:val="14"/>
          <w:szCs w:val="14"/>
          <w:color w:val="1F497D"/>
        </w:rPr>
      </w:pPr>
    </w:p>
    <w:p>
      <w:pPr>
        <w:jc w:val="both"/>
        <w:ind w:left="153" w:right="60" w:hanging="153"/>
        <w:spacing w:after="0" w:line="232"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Fees and Commissions, net, totaled $3.9 million in 1Q22 (+30% YoY; -37% QoQ). Fees from the Bank’s letters credit business sustained its growth trend performance (+31% YoY; +6% QoQ), although impacted by the uneven nature of the transaction-based syndication business when compared to the 4Q21.</w:t>
      </w:r>
    </w:p>
    <w:p>
      <w:pPr>
        <w:spacing w:after="0" w:line="76" w:lineRule="exact"/>
        <w:rPr>
          <w:rFonts w:ascii="Arial" w:cs="Arial" w:eastAsia="Arial" w:hAnsi="Arial"/>
          <w:sz w:val="14"/>
          <w:szCs w:val="14"/>
          <w:color w:val="1F497D"/>
        </w:rPr>
      </w:pPr>
    </w:p>
    <w:p>
      <w:pPr>
        <w:ind w:left="153" w:right="60" w:hanging="153"/>
        <w:spacing w:after="0" w:line="232" w:lineRule="auto"/>
        <w:tabs>
          <w:tab w:leader="none" w:pos="149" w:val="left"/>
        </w:tabs>
        <w:numPr>
          <w:ilvl w:val="0"/>
          <w:numId w:val="2"/>
        </w:numPr>
        <w:rPr>
          <w:rFonts w:ascii="Arial" w:cs="Arial" w:eastAsia="Arial" w:hAnsi="Arial"/>
          <w:sz w:val="14"/>
          <w:szCs w:val="14"/>
          <w:color w:val="1F497D"/>
        </w:rPr>
      </w:pPr>
      <w:r>
        <w:rPr>
          <w:rFonts w:ascii="Arial" w:cs="Arial" w:eastAsia="Arial" w:hAnsi="Arial"/>
          <w:sz w:val="16"/>
          <w:szCs w:val="16"/>
          <w:color w:val="1F497D"/>
        </w:rPr>
        <w:t>As of March 31, 2022, the Bank´s Tier 1 Basel III Capital and Regulatory Capital Adequacy Ratios stood at 16.2% and 13.4%, respectively, due to higher risk-weighted assets on increased Loan and Investment Portfolios, while equity levels remained relatively stable at over $1 billion.</w:t>
      </w:r>
    </w:p>
    <w:p>
      <w:pPr>
        <w:spacing w:after="0" w:line="200" w:lineRule="exact"/>
        <w:rPr>
          <w:sz w:val="20"/>
          <w:szCs w:val="20"/>
          <w:color w:val="auto"/>
        </w:rPr>
      </w:pPr>
    </w:p>
    <w:p>
      <w:pPr>
        <w:spacing w:after="0" w:line="230"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auto"/>
        </w:rPr>
        <w:t>CEO's Comments</w:t>
      </w:r>
    </w:p>
    <w:p>
      <w:pPr>
        <w:spacing w:after="0" w:line="336" w:lineRule="exact"/>
        <w:rPr>
          <w:sz w:val="20"/>
          <w:szCs w:val="20"/>
          <w:color w:val="auto"/>
        </w:rPr>
      </w:pPr>
    </w:p>
    <w:p>
      <w:pPr>
        <w:jc w:val="both"/>
        <w:ind w:left="73" w:right="80"/>
        <w:spacing w:after="0" w:line="212" w:lineRule="auto"/>
        <w:rPr>
          <w:sz w:val="20"/>
          <w:szCs w:val="20"/>
          <w:color w:val="auto"/>
        </w:rPr>
      </w:pPr>
      <w:r>
        <w:rPr>
          <w:rFonts w:ascii="Arial" w:cs="Arial" w:eastAsia="Arial" w:hAnsi="Arial"/>
          <w:sz w:val="17"/>
          <w:szCs w:val="17"/>
          <w:color w:val="595959"/>
        </w:rPr>
        <w:t>Mr. Jorge Salas, Bladex’s Chief Executive Officer said: “This quarter was record-breaking in terms of asset growth, reaching USD8.5 billion in total assets on the back of a strong Commercial Portfolio performance. This is now the seventh consecutive quarter of continued growth, as we have been actively taking advantage from increased demand in countries and sectors benefiting from the positive trend in trade volumes, as the increase in commodity prices are a favorable development for net commodity exporters in Latin America.”</w:t>
      </w:r>
    </w:p>
    <w:p>
      <w:pPr>
        <w:spacing w:after="0" w:line="65" w:lineRule="exact"/>
        <w:rPr>
          <w:sz w:val="20"/>
          <w:szCs w:val="20"/>
          <w:color w:val="auto"/>
        </w:rPr>
      </w:pPr>
    </w:p>
    <w:p>
      <w:pPr>
        <w:jc w:val="both"/>
        <w:ind w:left="73" w:right="80"/>
        <w:spacing w:after="0" w:line="212" w:lineRule="auto"/>
        <w:rPr>
          <w:sz w:val="20"/>
          <w:szCs w:val="20"/>
          <w:color w:val="auto"/>
        </w:rPr>
      </w:pPr>
      <w:r>
        <w:rPr>
          <w:rFonts w:ascii="Arial" w:cs="Arial" w:eastAsia="Arial" w:hAnsi="Arial"/>
          <w:sz w:val="17"/>
          <w:szCs w:val="17"/>
          <w:color w:val="595959"/>
        </w:rPr>
        <w:t>Mr. Salas added: “To support this growth, Bladex continues to rely on its resilient level of deposits and ample access to debt and capital markets. During the quarter, Bladex successfully reopened a debt placement in the Mexican capital market for 3 billion Mexican Pesos or approximately USD 150 million, and entered into a USD 300 million global syndicated transaction. These new resources allow us to keep funding our commercial growth while maintaining a cost-efficient, diversified and resilient funding base.”</w:t>
      </w:r>
    </w:p>
    <w:p>
      <w:pPr>
        <w:spacing w:after="0" w:line="65" w:lineRule="exact"/>
        <w:rPr>
          <w:sz w:val="20"/>
          <w:szCs w:val="20"/>
          <w:color w:val="auto"/>
        </w:rPr>
      </w:pPr>
    </w:p>
    <w:p>
      <w:pPr>
        <w:jc w:val="both"/>
        <w:ind w:left="73" w:right="80"/>
        <w:spacing w:after="0" w:line="212" w:lineRule="auto"/>
        <w:rPr>
          <w:sz w:val="20"/>
          <w:szCs w:val="20"/>
          <w:color w:val="auto"/>
        </w:rPr>
      </w:pPr>
      <w:r>
        <w:rPr>
          <w:rFonts w:ascii="Arial" w:cs="Arial" w:eastAsia="Arial" w:hAnsi="Arial"/>
          <w:sz w:val="17"/>
          <w:szCs w:val="17"/>
          <w:color w:val="595959"/>
        </w:rPr>
        <w:t>Mr. Salas also indicated: “Interest income does not reflect the full impact of the increased volume of commercial assets observed during the quarter, as most of the growth took place during the last weeks of the quarter and the Bank maintained higher liquidity levels at the onset of the year, in anticipation of the expected increase of its credit portfolio. The robust asset growth should provide a strong basis for a sustained improvement of the Bank’s revenue flows in the coming months.”</w:t>
      </w:r>
    </w:p>
    <w:p>
      <w:pPr>
        <w:spacing w:after="0" w:line="65" w:lineRule="exact"/>
        <w:rPr>
          <w:sz w:val="20"/>
          <w:szCs w:val="20"/>
          <w:color w:val="auto"/>
        </w:rPr>
      </w:pPr>
    </w:p>
    <w:p>
      <w:pPr>
        <w:jc w:val="both"/>
        <w:ind w:left="73"/>
        <w:spacing w:after="0" w:line="212" w:lineRule="auto"/>
        <w:rPr>
          <w:sz w:val="20"/>
          <w:szCs w:val="20"/>
          <w:color w:val="auto"/>
        </w:rPr>
      </w:pPr>
      <w:r>
        <w:rPr>
          <w:rFonts w:ascii="Arial" w:cs="Arial" w:eastAsia="Arial" w:hAnsi="Arial"/>
          <w:sz w:val="17"/>
          <w:szCs w:val="17"/>
          <w:color w:val="595959"/>
        </w:rPr>
        <w:t>Mr. Salas concluded: “Even though growth forecasts for the Region have been revised down slightly, while inflation continues to rise strongly, with official interest rates expected to move further into restrictive territory, we are confident in our ability to increase the profitability of our credit portfolio given its high turnover and the favorable market dynamics that benefit our business model, which, coupled with our expertise in the Region, allows us to continue to serve our clients’ increasing financing needs.”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auto"/>
        </w:rPr>
        <w:t>RECENT EVENTS</w:t>
      </w:r>
    </w:p>
    <w:p>
      <w:pPr>
        <w:spacing w:after="0" w:line="270" w:lineRule="exact"/>
        <w:rPr>
          <w:sz w:val="20"/>
          <w:szCs w:val="20"/>
          <w:color w:val="auto"/>
        </w:rPr>
      </w:pPr>
    </w:p>
    <w:p>
      <w:pPr>
        <w:ind w:left="733" w:right="80" w:hanging="328"/>
        <w:spacing w:after="0" w:line="352" w:lineRule="auto"/>
        <w:tabs>
          <w:tab w:leader="none" w:pos="736" w:val="left"/>
        </w:tabs>
        <w:numPr>
          <w:ilvl w:val="0"/>
          <w:numId w:val="3"/>
        </w:numPr>
        <w:rPr>
          <w:rFonts w:ascii="Arial" w:cs="Arial" w:eastAsia="Arial" w:hAnsi="Arial"/>
          <w:sz w:val="16"/>
          <w:szCs w:val="16"/>
          <w:color w:val="1F497D"/>
        </w:rPr>
      </w:pPr>
      <w:r>
        <w:rPr>
          <w:rFonts w:ascii="Arial" w:cs="Arial" w:eastAsia="Arial" w:hAnsi="Arial"/>
          <w:sz w:val="16"/>
          <w:szCs w:val="16"/>
          <w:b w:val="1"/>
          <w:bCs w:val="1"/>
          <w:color w:val="1F497D"/>
        </w:rPr>
        <w:t xml:space="preserve">Quarterly dividend payment: </w:t>
      </w:r>
      <w:r>
        <w:rPr>
          <w:rFonts w:ascii="Arial" w:cs="Arial" w:eastAsia="Arial" w:hAnsi="Arial"/>
          <w:sz w:val="16"/>
          <w:szCs w:val="16"/>
          <w:color w:val="000000"/>
        </w:rPr>
        <w:t>The Board approved a quarterly common dividend of $0.25 per share corresponding to the first quarter 2022. The</w:t>
      </w:r>
      <w:r>
        <w:rPr>
          <w:rFonts w:ascii="Arial" w:cs="Arial" w:eastAsia="Arial" w:hAnsi="Arial"/>
          <w:sz w:val="16"/>
          <w:szCs w:val="16"/>
          <w:b w:val="1"/>
          <w:bCs w:val="1"/>
          <w:color w:val="1F497D"/>
        </w:rPr>
        <w:t xml:space="preserve"> </w:t>
      </w:r>
      <w:r>
        <w:rPr>
          <w:rFonts w:ascii="Arial" w:cs="Arial" w:eastAsia="Arial" w:hAnsi="Arial"/>
          <w:sz w:val="16"/>
          <w:szCs w:val="16"/>
          <w:color w:val="000000"/>
        </w:rPr>
        <w:t>cash dividend will be paid on June 1, 2022, to shareholders registered as of May 16, 2022.</w:t>
      </w:r>
    </w:p>
    <w:p>
      <w:pPr>
        <w:ind w:left="733" w:hanging="328"/>
        <w:spacing w:after="0"/>
        <w:tabs>
          <w:tab w:leader="none" w:pos="733" w:val="left"/>
        </w:tabs>
        <w:numPr>
          <w:ilvl w:val="0"/>
          <w:numId w:val="3"/>
        </w:numPr>
        <w:rPr>
          <w:rFonts w:ascii="Arial" w:cs="Arial" w:eastAsia="Arial" w:hAnsi="Arial"/>
          <w:sz w:val="16"/>
          <w:szCs w:val="16"/>
          <w:color w:val="1F497D"/>
        </w:rPr>
      </w:pPr>
      <w:r>
        <w:rPr>
          <w:rFonts w:ascii="Arial" w:cs="Arial" w:eastAsia="Arial" w:hAnsi="Arial"/>
          <w:sz w:val="16"/>
          <w:szCs w:val="16"/>
          <w:b w:val="1"/>
          <w:bCs w:val="1"/>
          <w:color w:val="1F497D"/>
        </w:rPr>
        <w:t xml:space="preserve">Annual Shareholders’ Meeting Results: </w:t>
      </w:r>
      <w:r>
        <w:rPr>
          <w:rFonts w:ascii="Arial" w:cs="Arial" w:eastAsia="Arial" w:hAnsi="Arial"/>
          <w:sz w:val="16"/>
          <w:szCs w:val="16"/>
          <w:color w:val="000000"/>
        </w:rPr>
        <w:t>At the Annual Shareholders’ Meeting held on April 27, 2022, in Panama City, Panama, shareholders:</w:t>
      </w:r>
    </w:p>
    <w:p>
      <w:pPr>
        <w:spacing w:after="0" w:line="106" w:lineRule="exact"/>
        <w:rPr>
          <w:rFonts w:ascii="Arial" w:cs="Arial" w:eastAsia="Arial" w:hAnsi="Arial"/>
          <w:sz w:val="16"/>
          <w:szCs w:val="16"/>
          <w:color w:val="1F497D"/>
        </w:rPr>
      </w:pPr>
    </w:p>
    <w:p>
      <w:pPr>
        <w:ind w:left="1053" w:hanging="324"/>
        <w:spacing w:after="0"/>
        <w:tabs>
          <w:tab w:leader="none" w:pos="1053" w:val="left"/>
        </w:tabs>
        <w:numPr>
          <w:ilvl w:val="1"/>
          <w:numId w:val="3"/>
        </w:numPr>
        <w:rPr>
          <w:rFonts w:ascii="Arial" w:cs="Arial" w:eastAsia="Arial" w:hAnsi="Arial"/>
          <w:sz w:val="14"/>
          <w:szCs w:val="14"/>
          <w:color w:val="1F497D"/>
        </w:rPr>
      </w:pPr>
      <w:r>
        <w:rPr>
          <w:rFonts w:ascii="Arial" w:cs="Arial" w:eastAsia="Arial" w:hAnsi="Arial"/>
          <w:sz w:val="16"/>
          <w:szCs w:val="16"/>
          <w:color w:val="auto"/>
        </w:rPr>
        <w:t>Elected Mr. Fausto de Andrade Ribeiro as Director representing Class “A” shares of the Bank’s common stock</w:t>
      </w:r>
    </w:p>
    <w:p>
      <w:pPr>
        <w:spacing w:after="0" w:line="86" w:lineRule="exact"/>
        <w:rPr>
          <w:rFonts w:ascii="Arial" w:cs="Arial" w:eastAsia="Arial" w:hAnsi="Arial"/>
          <w:sz w:val="14"/>
          <w:szCs w:val="14"/>
          <w:color w:val="1F497D"/>
        </w:rPr>
      </w:pPr>
    </w:p>
    <w:p>
      <w:pPr>
        <w:ind w:left="1053" w:right="80" w:hanging="324"/>
        <w:spacing w:after="0" w:line="352" w:lineRule="auto"/>
        <w:tabs>
          <w:tab w:leader="none" w:pos="1049" w:val="left"/>
        </w:tabs>
        <w:numPr>
          <w:ilvl w:val="1"/>
          <w:numId w:val="3"/>
        </w:numPr>
        <w:rPr>
          <w:rFonts w:ascii="Arial" w:cs="Arial" w:eastAsia="Arial" w:hAnsi="Arial"/>
          <w:sz w:val="14"/>
          <w:szCs w:val="14"/>
          <w:color w:val="1F497D"/>
        </w:rPr>
      </w:pPr>
      <w:r>
        <w:rPr>
          <w:rFonts w:ascii="Arial" w:cs="Arial" w:eastAsia="Arial" w:hAnsi="Arial"/>
          <w:sz w:val="16"/>
          <w:szCs w:val="16"/>
          <w:color w:val="auto"/>
        </w:rPr>
        <w:t>Elected Mrs. Lorenza Martinez, Mr. Ricardo Manuel Arango and Mr. Roland Holst as Directors representing Class “E” shares of the Bank’s common stock.</w:t>
      </w:r>
    </w:p>
    <w:p>
      <w:pPr>
        <w:ind w:left="1053" w:hanging="324"/>
        <w:spacing w:after="0"/>
        <w:tabs>
          <w:tab w:leader="none" w:pos="1053" w:val="left"/>
        </w:tabs>
        <w:numPr>
          <w:ilvl w:val="1"/>
          <w:numId w:val="3"/>
        </w:numPr>
        <w:rPr>
          <w:rFonts w:ascii="Arial" w:cs="Arial" w:eastAsia="Arial" w:hAnsi="Arial"/>
          <w:sz w:val="14"/>
          <w:szCs w:val="14"/>
          <w:color w:val="1F497D"/>
        </w:rPr>
      </w:pPr>
      <w:r>
        <w:rPr>
          <w:rFonts w:ascii="Arial" w:cs="Arial" w:eastAsia="Arial" w:hAnsi="Arial"/>
          <w:sz w:val="16"/>
          <w:szCs w:val="16"/>
          <w:color w:val="auto"/>
        </w:rPr>
        <w:t>Approved the Bank’s audited consolidated financial statements for the fiscal year ended December 31, 2021.</w:t>
      </w:r>
    </w:p>
    <w:p>
      <w:pPr>
        <w:spacing w:after="0" w:line="86" w:lineRule="exact"/>
        <w:rPr>
          <w:rFonts w:ascii="Arial" w:cs="Arial" w:eastAsia="Arial" w:hAnsi="Arial"/>
          <w:sz w:val="14"/>
          <w:szCs w:val="14"/>
          <w:color w:val="1F497D"/>
        </w:rPr>
      </w:pPr>
    </w:p>
    <w:p>
      <w:pPr>
        <w:ind w:left="1053" w:hanging="324"/>
        <w:spacing w:after="0"/>
        <w:tabs>
          <w:tab w:leader="none" w:pos="1053" w:val="left"/>
        </w:tabs>
        <w:numPr>
          <w:ilvl w:val="1"/>
          <w:numId w:val="3"/>
        </w:numPr>
        <w:rPr>
          <w:rFonts w:ascii="Arial" w:cs="Arial" w:eastAsia="Arial" w:hAnsi="Arial"/>
          <w:sz w:val="14"/>
          <w:szCs w:val="14"/>
          <w:color w:val="1F497D"/>
        </w:rPr>
      </w:pPr>
      <w:r>
        <w:rPr>
          <w:rFonts w:ascii="Arial" w:cs="Arial" w:eastAsia="Arial" w:hAnsi="Arial"/>
          <w:sz w:val="16"/>
          <w:szCs w:val="16"/>
          <w:color w:val="auto"/>
        </w:rPr>
        <w:t>Ratified KPMG as the Bank’s independent registered public accounting firm for the fiscal year ending December 31, 2022.</w:t>
      </w:r>
    </w:p>
    <w:p>
      <w:pPr>
        <w:spacing w:after="0" w:line="86" w:lineRule="exact"/>
        <w:rPr>
          <w:rFonts w:ascii="Arial" w:cs="Arial" w:eastAsia="Arial" w:hAnsi="Arial"/>
          <w:sz w:val="14"/>
          <w:szCs w:val="14"/>
          <w:color w:val="1F497D"/>
        </w:rPr>
      </w:pPr>
    </w:p>
    <w:p>
      <w:pPr>
        <w:ind w:left="1053" w:hanging="324"/>
        <w:spacing w:after="0"/>
        <w:tabs>
          <w:tab w:leader="none" w:pos="1053" w:val="left"/>
        </w:tabs>
        <w:numPr>
          <w:ilvl w:val="1"/>
          <w:numId w:val="3"/>
        </w:numPr>
        <w:rPr>
          <w:rFonts w:ascii="Arial" w:cs="Arial" w:eastAsia="Arial" w:hAnsi="Arial"/>
          <w:sz w:val="14"/>
          <w:szCs w:val="14"/>
          <w:color w:val="1F497D"/>
        </w:rPr>
      </w:pPr>
      <w:r>
        <w:rPr>
          <w:rFonts w:ascii="Arial" w:cs="Arial" w:eastAsia="Arial" w:hAnsi="Arial"/>
          <w:sz w:val="16"/>
          <w:szCs w:val="16"/>
          <w:color w:val="auto"/>
        </w:rPr>
        <w:t>Approved, on an advisory basis, the compensation of the Bank’s executive officers</w:t>
      </w:r>
    </w:p>
    <w:p>
      <w:pPr>
        <w:spacing w:after="0" w:line="318" w:lineRule="exact"/>
        <w:rPr>
          <w:sz w:val="20"/>
          <w:szCs w:val="20"/>
          <w:color w:val="auto"/>
        </w:rPr>
      </w:pPr>
    </w:p>
    <w:p>
      <w:pPr>
        <w:ind w:left="73"/>
        <w:spacing w:after="0"/>
        <w:rPr>
          <w:sz w:val="20"/>
          <w:szCs w:val="20"/>
          <w:color w:val="auto"/>
        </w:rPr>
      </w:pPr>
      <w:r>
        <w:rPr>
          <w:rFonts w:ascii="Arial" w:cs="Arial" w:eastAsia="Arial" w:hAnsi="Arial"/>
          <w:sz w:val="18"/>
          <w:szCs w:val="18"/>
          <w:b w:val="1"/>
          <w:bCs w:val="1"/>
          <w:color w:val="auto"/>
        </w:rPr>
        <w:t>Notes:</w:t>
      </w:r>
    </w:p>
    <w:p>
      <w:pPr>
        <w:sectPr>
          <w:pgSz w:w="11900" w:h="16838" w:orient="portrait"/>
          <w:cols w:equalWidth="0" w:num="1">
            <w:col w:w="11313"/>
          </w:cols>
          <w:pgMar w:left="247" w:top="1302" w:right="339" w:bottom="1440" w:gutter="0" w:footer="0" w:header="0"/>
        </w:sectPr>
      </w:pPr>
    </w:p>
    <w:p>
      <w:pPr>
        <w:spacing w:after="0" w:line="115" w:lineRule="exact"/>
        <w:rPr>
          <w:sz w:val="20"/>
          <w:szCs w:val="20"/>
          <w:color w:val="auto"/>
        </w:rPr>
      </w:pPr>
    </w:p>
    <w:p>
      <w:pPr>
        <w:ind w:left="733" w:hanging="328"/>
        <w:spacing w:after="0"/>
        <w:tabs>
          <w:tab w:leader="none" w:pos="733" w:val="left"/>
        </w:tabs>
        <w:numPr>
          <w:ilvl w:val="0"/>
          <w:numId w:val="4"/>
        </w:numPr>
        <w:rPr>
          <w:rFonts w:ascii="Arial" w:cs="Arial" w:eastAsia="Arial" w:hAnsi="Arial"/>
          <w:sz w:val="14"/>
          <w:szCs w:val="14"/>
          <w:color w:val="auto"/>
        </w:rPr>
      </w:pPr>
      <w:r>
        <w:rPr>
          <w:rFonts w:ascii="Arial" w:cs="Arial" w:eastAsia="Arial" w:hAnsi="Arial"/>
          <w:sz w:val="16"/>
          <w:szCs w:val="16"/>
          <w:color w:val="auto"/>
        </w:rPr>
        <w:t>Numbers and percentages set forth in this earnings release have been rounded and accordingly may not total exactly.</w:t>
      </w:r>
    </w:p>
    <w:p>
      <w:pPr>
        <w:sectPr>
          <w:pgSz w:w="11900" w:h="16838" w:orient="portrait"/>
          <w:cols w:equalWidth="0" w:num="1">
            <w:col w:w="11313"/>
          </w:cols>
          <w:pgMar w:left="247" w:top="1302" w:right="339" w:bottom="1440" w:gutter="0" w:footer="0" w:header="0"/>
          <w:type w:val="continuous"/>
        </w:sectPr>
      </w:pPr>
    </w:p>
    <w:bookmarkStart w:id="4" w:name="page5"/>
    <w:bookmarkEnd w:id="4"/>
    <w:p>
      <w:pPr>
        <w:ind w:left="660" w:hanging="328"/>
        <w:spacing w:after="0"/>
        <w:tabs>
          <w:tab w:leader="none" w:pos="660" w:val="left"/>
        </w:tabs>
        <w:numPr>
          <w:ilvl w:val="0"/>
          <w:numId w:val="5"/>
        </w:numPr>
        <w:rPr>
          <w:rFonts w:ascii="Arial" w:cs="Arial" w:eastAsia="Arial" w:hAnsi="Arial"/>
          <w:sz w:val="14"/>
          <w:szCs w:val="14"/>
          <w:color w:val="auto"/>
        </w:rPr>
      </w:pPr>
      <w:r>
        <w:rPr>
          <w:rFonts w:ascii="Arial" w:cs="Arial" w:eastAsia="Arial" w:hAnsi="Arial"/>
          <w:sz w:val="16"/>
          <w:szCs w:val="16"/>
          <w:color w:val="auto"/>
        </w:rPr>
        <w:t>QoQ and YoY refer to quarter-on-quarter and year-on-year variations, respectively.</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6"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Earnings per Share (“EPS”) calculation is based on the average number of shares outstanding during each period.</w:t>
      </w:r>
    </w:p>
    <w:p>
      <w:pPr>
        <w:spacing w:after="0" w:line="149" w:lineRule="exact"/>
        <w:rPr>
          <w:rFonts w:ascii="Arial" w:cs="Arial" w:eastAsia="Arial" w:hAnsi="Arial"/>
          <w:sz w:val="14"/>
          <w:szCs w:val="14"/>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ROAE refers to return on average stockholders’ equity which is calculated on the basis of unaudited daily average balances.</w:t>
      </w:r>
    </w:p>
    <w:p>
      <w:pPr>
        <w:spacing w:after="0" w:line="149" w:lineRule="exact"/>
        <w:rPr>
          <w:rFonts w:ascii="Arial" w:cs="Arial" w:eastAsia="Arial" w:hAnsi="Arial"/>
          <w:sz w:val="14"/>
          <w:szCs w:val="14"/>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NIM refers to net interest margin which constitutes to Net Interest Income (“NII”) divided by the average balance of interest-earning assets.</w:t>
      </w:r>
    </w:p>
    <w:p>
      <w:pPr>
        <w:spacing w:after="0" w:line="163" w:lineRule="exact"/>
        <w:rPr>
          <w:rFonts w:ascii="Arial" w:cs="Arial" w:eastAsia="Arial" w:hAnsi="Arial"/>
          <w:sz w:val="14"/>
          <w:szCs w:val="14"/>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NIS refers to net interest spread which constitutes the average yield earned on interest-earning assets, less the average yield paid on interest-bearing liabilities.</w:t>
      </w:r>
    </w:p>
    <w:p>
      <w:pPr>
        <w:spacing w:after="0" w:line="149" w:lineRule="exact"/>
        <w:rPr>
          <w:rFonts w:ascii="Arial" w:cs="Arial" w:eastAsia="Arial" w:hAnsi="Arial"/>
          <w:sz w:val="14"/>
          <w:szCs w:val="14"/>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Efficiency Ratio refers to consolidated operating expenses as a percentage of total revenues.</w:t>
      </w:r>
    </w:p>
    <w:p>
      <w:pPr>
        <w:spacing w:after="0" w:line="149" w:lineRule="exact"/>
        <w:rPr>
          <w:rFonts w:ascii="Arial" w:cs="Arial" w:eastAsia="Arial" w:hAnsi="Arial"/>
          <w:sz w:val="14"/>
          <w:szCs w:val="14"/>
          <w:color w:val="auto"/>
        </w:rPr>
      </w:pPr>
    </w:p>
    <w:p>
      <w:pPr>
        <w:jc w:val="both"/>
        <w:ind w:left="660" w:hanging="328"/>
        <w:spacing w:after="0" w:line="370" w:lineRule="auto"/>
        <w:tabs>
          <w:tab w:leader="none" w:pos="666" w:val="left"/>
        </w:tabs>
        <w:numPr>
          <w:ilvl w:val="0"/>
          <w:numId w:val="6"/>
        </w:numPr>
        <w:rPr>
          <w:rFonts w:ascii="Arial" w:cs="Arial" w:eastAsia="Arial" w:hAnsi="Arial"/>
          <w:sz w:val="14"/>
          <w:szCs w:val="14"/>
          <w:color w:val="auto"/>
        </w:rPr>
      </w:pPr>
      <w:r>
        <w:rPr>
          <w:rFonts w:ascii="Arial" w:cs="Arial" w:eastAsia="Arial" w:hAnsi="Arial"/>
          <w:sz w:val="14"/>
          <w:szCs w:val="14"/>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65" w:lineRule="exact"/>
        <w:rPr>
          <w:rFonts w:ascii="Arial" w:cs="Arial" w:eastAsia="Arial" w:hAnsi="Arial"/>
          <w:sz w:val="14"/>
          <w:szCs w:val="14"/>
          <w:color w:val="auto"/>
        </w:rPr>
      </w:pPr>
    </w:p>
    <w:p>
      <w:pPr>
        <w:jc w:val="both"/>
        <w:ind w:left="660" w:hanging="328"/>
        <w:spacing w:after="0" w:line="414" w:lineRule="auto"/>
        <w:tabs>
          <w:tab w:leader="none" w:pos="666" w:val="left"/>
        </w:tabs>
        <w:numPr>
          <w:ilvl w:val="0"/>
          <w:numId w:val="6"/>
        </w:numPr>
        <w:rPr>
          <w:rFonts w:ascii="Arial" w:cs="Arial" w:eastAsia="Arial" w:hAnsi="Arial"/>
          <w:sz w:val="14"/>
          <w:szCs w:val="14"/>
          <w:color w:val="auto"/>
        </w:rPr>
      </w:pPr>
      <w:r>
        <w:rPr>
          <w:rFonts w:ascii="Arial" w:cs="Arial" w:eastAsia="Arial" w:hAnsi="Arial"/>
          <w:sz w:val="14"/>
          <w:szCs w:val="14"/>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241" w:lineRule="exact"/>
        <w:rPr>
          <w:rFonts w:ascii="Arial" w:cs="Arial" w:eastAsia="Arial" w:hAnsi="Arial"/>
          <w:sz w:val="14"/>
          <w:szCs w:val="14"/>
          <w:color w:val="auto"/>
        </w:rPr>
      </w:pPr>
    </w:p>
    <w:p>
      <w:pPr>
        <w:ind w:left="660" w:hanging="328"/>
        <w:spacing w:after="0"/>
        <w:tabs>
          <w:tab w:leader="none" w:pos="660" w:val="left"/>
        </w:tabs>
        <w:numPr>
          <w:ilvl w:val="0"/>
          <w:numId w:val="6"/>
        </w:numPr>
        <w:rPr>
          <w:rFonts w:ascii="Arial" w:cs="Arial" w:eastAsia="Arial" w:hAnsi="Arial"/>
          <w:sz w:val="14"/>
          <w:szCs w:val="14"/>
          <w:color w:val="auto"/>
        </w:rPr>
      </w:pPr>
      <w:r>
        <w:rPr>
          <w:rFonts w:ascii="Arial" w:cs="Arial" w:eastAsia="Arial" w:hAnsi="Arial"/>
          <w:sz w:val="14"/>
          <w:szCs w:val="14"/>
          <w:color w:val="auto"/>
        </w:rPr>
        <w:t>Market capitalization corresponds to total outstanding common shares multiplied by market close price at the end of each corresponding period.</w:t>
      </w:r>
    </w:p>
    <w:p>
      <w:pPr>
        <w:spacing w:after="0" w:line="149" w:lineRule="exact"/>
        <w:rPr>
          <w:rFonts w:ascii="Arial" w:cs="Arial" w:eastAsia="Arial" w:hAnsi="Arial"/>
          <w:sz w:val="14"/>
          <w:szCs w:val="14"/>
          <w:color w:val="auto"/>
        </w:rPr>
      </w:pPr>
    </w:p>
    <w:p>
      <w:pPr>
        <w:ind w:left="660" w:hanging="328"/>
        <w:spacing w:after="0" w:line="499" w:lineRule="auto"/>
        <w:tabs>
          <w:tab w:leader="none" w:pos="666" w:val="left"/>
        </w:tabs>
        <w:numPr>
          <w:ilvl w:val="0"/>
          <w:numId w:val="6"/>
        </w:numPr>
        <w:rPr>
          <w:rFonts w:ascii="Arial" w:cs="Arial" w:eastAsia="Arial" w:hAnsi="Arial"/>
          <w:sz w:val="14"/>
          <w:szCs w:val="14"/>
          <w:color w:val="auto"/>
        </w:rPr>
      </w:pPr>
      <w:r>
        <w:rPr>
          <w:rFonts w:ascii="Arial" w:cs="Arial" w:eastAsia="Arial" w:hAnsi="Arial"/>
          <w:sz w:val="14"/>
          <w:szCs w:val="14"/>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9" w:lineRule="exact"/>
        <w:rPr>
          <w:rFonts w:ascii="Arial" w:cs="Arial" w:eastAsia="Arial" w:hAnsi="Arial"/>
          <w:sz w:val="14"/>
          <w:szCs w:val="14"/>
          <w:color w:val="auto"/>
        </w:rPr>
      </w:pPr>
    </w:p>
    <w:p>
      <w:pPr>
        <w:jc w:val="both"/>
        <w:ind w:left="660" w:hanging="328"/>
        <w:spacing w:after="0" w:line="370" w:lineRule="auto"/>
        <w:tabs>
          <w:tab w:leader="none" w:pos="665" w:val="left"/>
        </w:tabs>
        <w:numPr>
          <w:ilvl w:val="0"/>
          <w:numId w:val="6"/>
        </w:numPr>
        <w:rPr>
          <w:rFonts w:ascii="Arial" w:cs="Arial" w:eastAsia="Arial" w:hAnsi="Arial"/>
          <w:sz w:val="14"/>
          <w:szCs w:val="14"/>
          <w:color w:val="auto"/>
        </w:rPr>
      </w:pPr>
      <w:r>
        <w:rPr>
          <w:rFonts w:ascii="Arial" w:cs="Arial" w:eastAsia="Arial" w:hAnsi="Arial"/>
          <w:sz w:val="14"/>
          <w:szCs w:val="14"/>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51" w:lineRule="exact"/>
        <w:rPr>
          <w:rFonts w:ascii="Arial" w:cs="Arial" w:eastAsia="Arial" w:hAnsi="Arial"/>
          <w:sz w:val="14"/>
          <w:szCs w:val="14"/>
          <w:color w:val="auto"/>
        </w:rPr>
      </w:pPr>
    </w:p>
    <w:p>
      <w:pPr>
        <w:ind w:left="660" w:hanging="328"/>
        <w:spacing w:after="0" w:line="379" w:lineRule="auto"/>
        <w:tabs>
          <w:tab w:leader="none" w:pos="665" w:val="left"/>
        </w:tabs>
        <w:numPr>
          <w:ilvl w:val="0"/>
          <w:numId w:val="6"/>
        </w:numPr>
        <w:rPr>
          <w:rFonts w:ascii="Arial" w:cs="Arial" w:eastAsia="Arial" w:hAnsi="Arial"/>
          <w:sz w:val="14"/>
          <w:szCs w:val="14"/>
          <w:color w:val="auto"/>
        </w:rPr>
      </w:pPr>
      <w:r>
        <w:rPr>
          <w:rFonts w:ascii="Arial" w:cs="Arial" w:eastAsia="Arial" w:hAnsi="Arial"/>
          <w:sz w:val="14"/>
          <w:szCs w:val="14"/>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45" w:lineRule="exact"/>
        <w:rPr>
          <w:rFonts w:ascii="Arial" w:cs="Arial" w:eastAsia="Arial" w:hAnsi="Arial"/>
          <w:sz w:val="14"/>
          <w:szCs w:val="14"/>
          <w:color w:val="auto"/>
        </w:rPr>
      </w:pPr>
    </w:p>
    <w:p>
      <w:pPr>
        <w:ind w:left="660" w:hanging="328"/>
        <w:spacing w:after="0" w:line="379" w:lineRule="auto"/>
        <w:tabs>
          <w:tab w:leader="none" w:pos="665" w:val="left"/>
        </w:tabs>
        <w:numPr>
          <w:ilvl w:val="0"/>
          <w:numId w:val="6"/>
        </w:numPr>
        <w:rPr>
          <w:rFonts w:ascii="Arial" w:cs="Arial" w:eastAsia="Arial" w:hAnsi="Arial"/>
          <w:sz w:val="14"/>
          <w:szCs w:val="14"/>
          <w:color w:val="auto"/>
        </w:rPr>
      </w:pPr>
      <w:r>
        <w:rPr>
          <w:rFonts w:ascii="Arial" w:cs="Arial" w:eastAsia="Arial" w:hAnsi="Arial"/>
          <w:sz w:val="14"/>
          <w:szCs w:val="14"/>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58" w:lineRule="exact"/>
        <w:rPr>
          <w:rFonts w:ascii="Arial" w:cs="Arial" w:eastAsia="Arial" w:hAnsi="Arial"/>
          <w:sz w:val="14"/>
          <w:szCs w:val="14"/>
          <w:color w:val="auto"/>
        </w:rPr>
      </w:pPr>
    </w:p>
    <w:p>
      <w:pPr>
        <w:ind w:left="660" w:hanging="328"/>
        <w:spacing w:after="0" w:line="379" w:lineRule="auto"/>
        <w:tabs>
          <w:tab w:leader="none" w:pos="665" w:val="left"/>
        </w:tabs>
        <w:numPr>
          <w:ilvl w:val="0"/>
          <w:numId w:val="6"/>
        </w:numPr>
        <w:rPr>
          <w:rFonts w:ascii="Arial" w:cs="Arial" w:eastAsia="Arial" w:hAnsi="Arial"/>
          <w:sz w:val="14"/>
          <w:szCs w:val="14"/>
          <w:color w:val="auto"/>
        </w:rPr>
      </w:pPr>
      <w:r>
        <w:rPr>
          <w:rFonts w:ascii="Arial" w:cs="Arial" w:eastAsia="Arial" w:hAnsi="Arial"/>
          <w:sz w:val="14"/>
          <w:szCs w:val="14"/>
          <w:color w:val="auto"/>
        </w:rPr>
        <w:t>Total allowance for losses refers to allowance for loan losses plus allowance for loan commitments and financial guarantee contract losses and allowance for investment securities losses.</w:t>
      </w:r>
    </w:p>
    <w:p>
      <w:pPr>
        <w:sectPr>
          <w:pgSz w:w="11900" w:h="16838" w:orient="portrait"/>
          <w:cols w:equalWidth="0" w:num="1">
            <w:col w:w="11160"/>
          </w:cols>
          <w:pgMar w:left="320" w:top="1248" w:right="419" w:bottom="1440" w:gutter="0" w:footer="0" w:header="0"/>
        </w:sectPr>
      </w:pPr>
    </w:p>
    <w:bookmarkStart w:id="5" w:name="page6"/>
    <w:bookmarkEnd w:id="5"/>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174625</wp:posOffset>
            </wp:positionV>
            <wp:extent cx="7140575" cy="16973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40575" cy="1697355"/>
                    </a:xfrm>
                    <a:prstGeom prst="rect">
                      <a:avLst/>
                    </a:prstGeom>
                    <a:noFill/>
                  </pic:spPr>
                </pic:pic>
              </a:graphicData>
            </a:graphic>
          </wp:anchor>
        </w:drawing>
      </w:r>
    </w:p>
    <w:p>
      <w:pPr>
        <w:spacing w:after="0" w:line="268" w:lineRule="exact"/>
        <w:rPr>
          <w:sz w:val="20"/>
          <w:szCs w:val="20"/>
          <w:color w:val="auto"/>
        </w:rPr>
      </w:pPr>
    </w:p>
    <w:p>
      <w:pPr>
        <w:jc w:val="both"/>
        <w:ind w:left="80" w:right="140"/>
        <w:spacing w:after="0" w:line="21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3" w:lineRule="exact"/>
        <w:rPr>
          <w:sz w:val="20"/>
          <w:szCs w:val="20"/>
          <w:color w:val="auto"/>
        </w:rPr>
      </w:pPr>
    </w:p>
    <w:p>
      <w:pPr>
        <w:jc w:val="both"/>
        <w:ind w:right="80"/>
        <w:spacing w:after="0" w:line="356"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231" w:lineRule="exact"/>
        <w:rPr>
          <w:sz w:val="20"/>
          <w:szCs w:val="20"/>
          <w:color w:val="auto"/>
        </w:rPr>
      </w:pPr>
    </w:p>
    <w:p>
      <w:pPr>
        <w:jc w:val="both"/>
        <w:ind w:right="80"/>
        <w:spacing w:after="0" w:line="359" w:lineRule="auto"/>
        <w:rPr>
          <w:sz w:val="20"/>
          <w:szCs w:val="20"/>
          <w:color w:val="auto"/>
        </w:rPr>
      </w:pPr>
      <w:r>
        <w:rPr>
          <w:rFonts w:ascii="Arial" w:cs="Arial" w:eastAsia="Arial" w:hAnsi="Arial"/>
          <w:sz w:val="16"/>
          <w:szCs w:val="16"/>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3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3" w:lineRule="exact"/>
        <w:rPr>
          <w:sz w:val="20"/>
          <w:szCs w:val="20"/>
          <w:color w:val="auto"/>
        </w:rPr>
      </w:pPr>
    </w:p>
    <w:p>
      <w:pPr>
        <w:jc w:val="both"/>
        <w:ind w:right="80"/>
        <w:spacing w:after="0" w:line="356"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May 4, 2022 at 11:00 a.m. New York City time (Eastern Time). For those interested in participating, please dial (800) 420-1271 in the United States or, if outside the United States, (785) 424-1205. Participants should use conference passcode 47922,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231"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30 days. Please dial</w:t>
      </w:r>
    </w:p>
    <w:p>
      <w:pPr>
        <w:spacing w:after="0" w:line="86" w:lineRule="exact"/>
        <w:rPr>
          <w:sz w:val="20"/>
          <w:szCs w:val="20"/>
          <w:color w:val="auto"/>
        </w:rPr>
      </w:pPr>
    </w:p>
    <w:p>
      <w:pPr>
        <w:ind w:right="5880" w:firstLine="8"/>
        <w:spacing w:after="0" w:line="598" w:lineRule="auto"/>
        <w:tabs>
          <w:tab w:leader="none" w:pos="423" w:val="left"/>
        </w:tabs>
        <w:numPr>
          <w:ilvl w:val="0"/>
          <w:numId w:val="7"/>
        </w:numPr>
        <w:rPr>
          <w:rFonts w:ascii="Arial" w:cs="Arial" w:eastAsia="Arial" w:hAnsi="Arial"/>
          <w:sz w:val="16"/>
          <w:szCs w:val="16"/>
          <w:color w:val="auto"/>
        </w:rPr>
      </w:pPr>
      <w:r>
        <w:rPr>
          <w:rFonts w:ascii="Arial" w:cs="Arial" w:eastAsia="Arial" w:hAnsi="Arial"/>
          <w:sz w:val="16"/>
          <w:szCs w:val="16"/>
          <w:color w:val="auto"/>
        </w:rPr>
        <w:t xml:space="preserve">219-1264 and follow the instructions. The replay passcode is: 47922. For more information, please access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Mrs. Ana Graciela de Méndez</w:t>
      </w:r>
    </w:p>
    <w:p>
      <w:pPr>
        <w:spacing w:after="0" w:line="86" w:lineRule="exact"/>
        <w:rPr>
          <w:sz w:val="20"/>
          <w:szCs w:val="20"/>
          <w:color w:val="auto"/>
        </w:rPr>
      </w:pPr>
    </w:p>
    <w:p>
      <w:pPr>
        <w:spacing w:after="0"/>
        <w:rPr>
          <w:sz w:val="20"/>
          <w:szCs w:val="20"/>
          <w:color w:val="auto"/>
        </w:rPr>
      </w:pPr>
      <w:r>
        <w:rPr>
          <w:rFonts w:ascii="Arial" w:cs="Arial" w:eastAsia="Arial" w:hAnsi="Arial"/>
          <w:sz w:val="16"/>
          <w:szCs w:val="16"/>
          <w:color w:val="auto"/>
        </w:rPr>
        <w:t>Chief Financial Officer</w:t>
      </w:r>
    </w:p>
    <w:p>
      <w:pPr>
        <w:spacing w:after="0" w:line="86" w:lineRule="exact"/>
        <w:rPr>
          <w:sz w:val="20"/>
          <w:szCs w:val="20"/>
          <w:color w:val="auto"/>
        </w:rPr>
      </w:pPr>
    </w:p>
    <w:p>
      <w:pPr>
        <w:spacing w:after="0"/>
        <w:rPr>
          <w:sz w:val="20"/>
          <w:szCs w:val="20"/>
          <w:color w:val="auto"/>
        </w:rPr>
      </w:pPr>
      <w:r>
        <w:rPr>
          <w:rFonts w:ascii="Arial" w:cs="Arial" w:eastAsia="Arial" w:hAnsi="Arial"/>
          <w:sz w:val="16"/>
          <w:szCs w:val="16"/>
          <w:color w:val="auto"/>
        </w:rPr>
        <w:t>Tel: +507 210-8563</w:t>
      </w:r>
    </w:p>
    <w:p>
      <w:pPr>
        <w:spacing w:after="0" w:line="86" w:lineRule="exact"/>
        <w:rPr>
          <w:sz w:val="20"/>
          <w:szCs w:val="20"/>
          <w:color w:val="auto"/>
        </w:rPr>
      </w:pPr>
    </w:p>
    <w:p>
      <w:pPr>
        <w:spacing w:after="0"/>
        <w:rPr>
          <w:sz w:val="20"/>
          <w:szCs w:val="20"/>
          <w:color w:val="auto"/>
        </w:rPr>
      </w:pPr>
      <w:r>
        <w:rPr>
          <w:rFonts w:ascii="Arial" w:cs="Arial" w:eastAsia="Arial" w:hAnsi="Arial"/>
          <w:sz w:val="16"/>
          <w:szCs w:val="16"/>
          <w:color w:val="auto"/>
        </w:rPr>
        <w:t xml:space="preserve">E-mail address: </w:t>
      </w:r>
      <w:r>
        <w:rPr>
          <w:rFonts w:ascii="Arial" w:cs="Arial" w:eastAsia="Arial" w:hAnsi="Arial"/>
          <w:sz w:val="16"/>
          <w:szCs w:val="16"/>
          <w:u w:val="single" w:color="auto"/>
          <w:color w:val="auto"/>
        </w:rPr>
        <w:t>amendez@bladex.com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right"/>
        <w:spacing w:after="0"/>
        <w:rPr>
          <w:sz w:val="20"/>
          <w:szCs w:val="20"/>
          <w:color w:val="auto"/>
        </w:rPr>
      </w:pPr>
      <w:r>
        <w:rPr>
          <w:rFonts w:ascii="Arial" w:cs="Arial" w:eastAsia="Arial" w:hAnsi="Arial"/>
          <w:sz w:val="14"/>
          <w:szCs w:val="14"/>
          <w:color w:val="auto"/>
        </w:rPr>
        <w:t>4</w:t>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lvl w:ilvl="1">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1)"/>
      <w:numFmt w:val="decimal"/>
      <w:start w:val="1"/>
    </w:lvl>
  </w:abstractNum>
  <w:abstractNum w:abstractNumId="6">
    <w:nsid w:val="41B71EFB"/>
    <w:multiLevelType w:val="hybridMultilevel"/>
    <w:lvl w:ilvl="0">
      <w:lvlJc w:val="left"/>
      <w:lvlText w:val="(%1)"/>
      <w:numFmt w:val="decimal"/>
      <w:start w:val="88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2022-05-04T15:42:55Z</dcterms:created>
  <dcterms:modified xsi:type="dcterms:W3CDTF">2022-05-04T15:42:55Z</dcterms:modified>
</cp:coreProperties>
</file>